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76325" cy="657225"/>
            <wp:effectExtent b="0" l="0" r="0" t="0"/>
            <wp:docPr id="5" name="image4.png"/>
            <a:graphic>
              <a:graphicData uri="http://schemas.openxmlformats.org/drawingml/2006/picture">
                <pic:pic>
                  <pic:nvPicPr>
                    <pic:cNvPr id="0" name="image4.png"/>
                    <pic:cNvPicPr preferRelativeResize="0"/>
                  </pic:nvPicPr>
                  <pic:blipFill>
                    <a:blip r:embed="rId6"/>
                    <a:srcRect b="0" l="0" r="0" t="0"/>
                    <a:stretch>
                      <a:fillRect/>
                    </a:stretch>
                  </pic:blipFill>
                  <pic:spPr>
                    <a:xfrm>
                      <a:off x="0" y="0"/>
                      <a:ext cx="1076325" cy="65722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42041015625" w:line="344.8327159881592" w:lineRule="auto"/>
        <w:ind w:left="1381.5902709960938" w:right="0" w:firstLine="0"/>
        <w:jc w:val="center"/>
        <w:rPr>
          <w:rFonts w:ascii="Times New Roman" w:cs="Times New Roman" w:eastAsia="Times New Roman" w:hAnsi="Times New Roman"/>
          <w:b w:val="0"/>
          <w:bCs w:val="0"/>
          <w:i w:val="0"/>
          <w:iCs w:val="0"/>
          <w:smallCaps w:val="0"/>
          <w:strike w:val="0"/>
          <w:color w:val="000000"/>
          <w:sz w:val="72"/>
          <w:szCs w:val="7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72"/>
          <w:szCs w:val="72"/>
          <w:u w:val="none"/>
          <w:shd w:fill="auto" w:val="clear"/>
          <w:vertAlign w:val="baseline"/>
          <w:rtl w:val="0"/>
        </w:rPr>
        <w:t xml:space="preserve">UNIVERSIDAD AUTÓNOMA DE LA CIUDAD DE </w:t>
      </w:r>
      <w:r w:rsidDel="00000000" w:rsidR="00000000" w:rsidRPr="00000000">
        <w:rPr>
          <w:rFonts w:ascii="Times New Roman" w:cs="Times New Roman" w:eastAsia="Times New Roman" w:hAnsi="Times New Roman"/>
          <w:sz w:val="72"/>
          <w:szCs w:val="72"/>
          <w:rtl w:val="0"/>
        </w:rPr>
        <w:t xml:space="preserve">MÉXICO</w:t>
      </w:r>
      <w:r w:rsidDel="00000000" w:rsidR="00000000" w:rsidRPr="00000000">
        <w:rPr>
          <w:rFonts w:ascii="Times New Roman" w:cs="Times New Roman" w:eastAsia="Times New Roman" w:hAnsi="Times New Roman"/>
          <w:b w:val="0"/>
          <w:bCs w:val="0"/>
          <w:i w:val="0"/>
          <w:iCs w:val="0"/>
          <w:smallCaps w:val="0"/>
          <w:strike w:val="0"/>
          <w:color w:val="000000"/>
          <w:sz w:val="72"/>
          <w:szCs w:val="72"/>
          <w:u w:val="none"/>
          <w:shd w:fill="auto" w:val="clear"/>
          <w:vertAlign w:val="baseline"/>
          <w:rtl w:val="0"/>
        </w:rPr>
        <w:t xml:space="preserve"> UACM </w:t>
      </w:r>
      <w:r w:rsidDel="00000000" w:rsidR="00000000" w:rsidRPr="00000000">
        <w:drawing>
          <wp:anchor allowOverlap="1" behindDoc="1" distB="114300" distT="114300" distL="114300" distR="114300" hidden="0" layoutInCell="1" locked="0" relativeHeight="0" simplePos="0">
            <wp:simplePos x="0" y="0"/>
            <wp:positionH relativeFrom="column">
              <wp:posOffset>428625</wp:posOffset>
            </wp:positionH>
            <wp:positionV relativeFrom="paragraph">
              <wp:posOffset>2047875</wp:posOffset>
            </wp:positionV>
            <wp:extent cx="6510338" cy="6510338"/>
            <wp:effectExtent b="0" l="0" r="0" t="0"/>
            <wp:wrapNone/>
            <wp:docPr id="15" name="image5.jpg"/>
            <a:graphic>
              <a:graphicData uri="http://schemas.openxmlformats.org/drawingml/2006/picture">
                <pic:pic>
                  <pic:nvPicPr>
                    <pic:cNvPr id="0" name="image5.jpg"/>
                    <pic:cNvPicPr preferRelativeResize="0"/>
                  </pic:nvPicPr>
                  <pic:blipFill>
                    <a:blip r:embed="rId7">
                      <a:alphaModFix amt="55000"/>
                    </a:blip>
                    <a:srcRect b="0" l="0" r="0" t="0"/>
                    <a:stretch>
                      <a:fillRect/>
                    </a:stretch>
                  </pic:blipFill>
                  <pic:spPr>
                    <a:xfrm>
                      <a:off x="0" y="0"/>
                      <a:ext cx="6510338" cy="6510338"/>
                    </a:xfrm>
                    <a:prstGeom prst="rect"/>
                    <a:ln/>
                  </pic:spPr>
                </pic:pic>
              </a:graphicData>
            </a:graphic>
          </wp:anchor>
        </w:drawing>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40576171875" w:line="240" w:lineRule="auto"/>
        <w:ind w:left="0" w:right="2617.3187255859375" w:firstLine="0"/>
        <w:jc w:val="right"/>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PLANTEL CUAUTEPEC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59.722900390625" w:line="240" w:lineRule="auto"/>
        <w:ind w:left="0" w:right="2947.1551513671875" w:firstLine="0"/>
        <w:jc w:val="right"/>
        <w:rPr>
          <w:rFonts w:ascii="Times New Roman" w:cs="Times New Roman" w:eastAsia="Times New Roman" w:hAnsi="Times New Roman"/>
          <w:b w:val="0"/>
          <w:bCs w:val="0"/>
          <w:i w:val="0"/>
          <w:iCs w:val="0"/>
          <w:smallCaps w:val="0"/>
          <w:strike w:val="0"/>
          <w:color w:val="000000"/>
          <w:sz w:val="42"/>
          <w:szCs w:val="4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2"/>
          <w:szCs w:val="42"/>
          <w:u w:val="none"/>
          <w:shd w:fill="auto" w:val="clear"/>
          <w:vertAlign w:val="baseline"/>
          <w:rtl w:val="0"/>
        </w:rPr>
        <w:t xml:space="preserve">LA OTRA CARA</w:t>
      </w:r>
      <w:r w:rsidDel="00000000" w:rsidR="00000000" w:rsidRPr="00000000">
        <w:rPr>
          <w:rFonts w:ascii="Times New Roman" w:cs="Times New Roman" w:eastAsia="Times New Roman" w:hAnsi="Times New Roman"/>
          <w:b w:val="0"/>
          <w:bCs w:val="0"/>
          <w:i w:val="0"/>
          <w:iCs w:val="0"/>
          <w:smallCaps w:val="0"/>
          <w:strike w:val="0"/>
          <w:color w:val="000000"/>
          <w:sz w:val="42"/>
          <w:szCs w:val="42"/>
          <w:u w:val="none"/>
          <w:shd w:fill="auto" w:val="clear"/>
          <w:vertAlign w:val="baseline"/>
          <w:rtl w:val="0"/>
        </w:rPr>
        <w:t xml:space="preserve">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67.769775390625" w:line="240" w:lineRule="auto"/>
        <w:ind w:left="0" w:right="986.131591796875" w:firstLine="0"/>
        <w:jc w:val="right"/>
        <w:rPr>
          <w:rFonts w:ascii="Times New Roman" w:cs="Times New Roman" w:eastAsia="Times New Roman" w:hAnsi="Times New Roman"/>
          <w:b w:val="1"/>
          <w:bCs w:val="1"/>
          <w:i w:val="0"/>
          <w:iCs w:val="0"/>
          <w:smallCaps w:val="0"/>
          <w:strike w:val="0"/>
          <w:color w:val="000000"/>
          <w:sz w:val="40"/>
          <w:szCs w:val="40"/>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40"/>
          <w:szCs w:val="40"/>
          <w:u w:val="none"/>
          <w:shd w:fill="auto" w:val="clear"/>
          <w:vertAlign w:val="baseline"/>
          <w:rtl w:val="0"/>
        </w:rPr>
        <w:t xml:space="preserve">DEL CRECIMIENTO ECONÓMICO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265869140625" w:line="602.5502586364746" w:lineRule="auto"/>
        <w:ind w:left="1668.800048828125" w:right="803.59619140625" w:firstLine="0"/>
        <w:jc w:val="center"/>
        <w:rPr>
          <w:rFonts w:ascii="Times New Roman" w:cs="Times New Roman" w:eastAsia="Times New Roman" w:hAnsi="Times New Roman"/>
          <w:b w:val="0"/>
          <w:bCs w:val="0"/>
          <w:i w:val="0"/>
          <w:iCs w:val="0"/>
          <w:smallCaps w:val="0"/>
          <w:strike w:val="0"/>
          <w:color w:val="000000"/>
          <w:sz w:val="40"/>
          <w:szCs w:val="40"/>
          <w:u w:val="none"/>
          <w:shd w:fill="auto" w:val="clear"/>
          <w:vertAlign w:val="baseline"/>
        </w:rPr>
      </w:pPr>
      <w:r w:rsidDel="00000000" w:rsidR="00000000" w:rsidRPr="00000000">
        <w:rPr>
          <w:rFonts w:ascii="Times" w:cs="Times" w:eastAsia="Times" w:hAnsi="Times"/>
          <w:b w:val="1"/>
          <w:bCs w:val="1"/>
          <w:i w:val="0"/>
          <w:iCs w:val="0"/>
          <w:smallCaps w:val="0"/>
          <w:strike w:val="0"/>
          <w:color w:val="000000"/>
          <w:sz w:val="40"/>
          <w:szCs w:val="40"/>
          <w:u w:val="none"/>
          <w:shd w:fill="auto" w:val="clear"/>
          <w:vertAlign w:val="baseline"/>
          <w:rtl w:val="0"/>
        </w:rPr>
        <w:t xml:space="preserve">EMPRESAS VS DERECHOS HUMANOS </w:t>
      </w:r>
      <w:r w:rsidDel="00000000" w:rsidR="00000000" w:rsidRPr="00000000">
        <w:rPr>
          <w:rFonts w:ascii="Times New Roman" w:cs="Times New Roman" w:eastAsia="Times New Roman" w:hAnsi="Times New Roman"/>
          <w:b w:val="0"/>
          <w:bCs w:val="0"/>
          <w:i w:val="0"/>
          <w:iCs w:val="0"/>
          <w:smallCaps w:val="0"/>
          <w:strike w:val="0"/>
          <w:color w:val="000000"/>
          <w:sz w:val="40"/>
          <w:szCs w:val="40"/>
          <w:u w:val="none"/>
          <w:shd w:fill="auto" w:val="clear"/>
          <w:vertAlign w:val="baseline"/>
          <w:rtl w:val="0"/>
        </w:rPr>
        <w:t xml:space="preserve">LICENCIATURA EN DERECHO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1.8878173828125" w:line="240" w:lineRule="auto"/>
        <w:ind w:left="0" w:right="1184.4293212890625" w:firstLine="0"/>
        <w:jc w:val="right"/>
        <w:rPr>
          <w:rFonts w:ascii="Times New Roman" w:cs="Times New Roman" w:eastAsia="Times New Roman" w:hAnsi="Times New Roman"/>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TRABAJO DE INVESTIGACIÓN REALIZADO POR: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31.79443359375" w:line="240" w:lineRule="auto"/>
        <w:ind w:left="0" w:right="1660.286865234375" w:firstLine="0"/>
        <w:jc w:val="righ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MICHELLE ALEJANDRA FUENTES VAZQUEZ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684.81201171875" w:line="240" w:lineRule="auto"/>
        <w:ind w:left="0" w:right="1788.575439453125" w:firstLine="0"/>
        <w:jc w:val="right"/>
        <w:rPr>
          <w:rFonts w:ascii="Times New Roman" w:cs="Times New Roman" w:eastAsia="Times New Roman" w:hAnsi="Times New Roman"/>
          <w:b w:val="0"/>
          <w:bCs w:val="0"/>
          <w:i w:val="0"/>
          <w:iCs w:val="0"/>
          <w:smallCaps w:val="0"/>
          <w:strike w:val="0"/>
          <w:color w:val="000000"/>
          <w:sz w:val="30"/>
          <w:szCs w:val="3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0"/>
          <w:szCs w:val="30"/>
          <w:u w:val="none"/>
          <w:shd w:fill="auto" w:val="clear"/>
          <w:vertAlign w:val="baseline"/>
          <w:rtl w:val="0"/>
        </w:rPr>
        <w:t xml:space="preserve">CRISTIAN DANIEL PALACIOS VELAZQUEZ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86.3380432128906" w:line="240" w:lineRule="auto"/>
        <w:ind w:left="0" w:right="433.018798828125" w:firstLine="0"/>
        <w:jc w:val="right"/>
        <w:rPr>
          <w:rFonts w:ascii="Arial" w:cs="Arial" w:eastAsia="Arial" w:hAnsi="Arial"/>
          <w:b w:val="0"/>
          <w:bCs w:val="0"/>
          <w:i w:val="0"/>
          <w:iCs w:val="0"/>
          <w:smallCaps w:val="0"/>
          <w:strike w:val="0"/>
          <w:color w:val="000000"/>
          <w:sz w:val="22"/>
          <w:szCs w:val="22"/>
          <w:u w:val="none"/>
          <w:shd w:fill="auto" w:val="clear"/>
          <w:vertAlign w:val="baseline"/>
        </w:rPr>
        <w:sectPr>
          <w:pgSz w:h="16840" w:w="11920" w:orient="portrait"/>
          <w:pgMar w:bottom="799.560546875" w:top="180" w:left="90" w:right="980.643310546875" w:header="0" w:footer="720"/>
          <w:pgNumType w:start="1"/>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0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76325" cy="657225"/>
            <wp:effectExtent b="0" l="0" r="0" t="0"/>
            <wp:docPr id="7"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076325" cy="657225"/>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4.0625" w:line="240" w:lineRule="auto"/>
        <w:ind w:left="0" w:right="2.344970703125"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sectPr>
          <w:type w:val="continuous"/>
          <w:pgSz w:h="16840" w:w="11920" w:orient="portrait"/>
          <w:pgMar w:bottom="799.560546875" w:top="180" w:left="90" w:right="4832.344970703125" w:header="0" w:footer="720"/>
          <w:cols w:equalWidth="0" w:num="2">
            <w:col w:space="0" w:w="3500"/>
            <w:col w:space="0" w:w="3500"/>
          </w:cols>
        </w:sect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INTRODUCCIÓN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1351.9200134277344" w:right="114.766845703125" w:firstLine="3.119964599609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 la actualidad, es muy común escuchar noticias, conferencias, anuncios, entre otros, sobre las medidas que implementarán los países para fortalecer sus economías. Estas estrategias están encaminadas a cumplir propósitos específicos y en la mayoría de los casos, se busca la cooperación bilateral o regional entre naciones. </w:t>
      </w:r>
      <w:r w:rsidDel="00000000" w:rsidR="00000000" w:rsidRPr="00000000">
        <w:drawing>
          <wp:anchor allowOverlap="1" behindDoc="1" distB="114300" distT="114300" distL="114300" distR="114300" hidden="0" layoutInCell="1" locked="0" relativeHeight="0" simplePos="0">
            <wp:simplePos x="0" y="0"/>
            <wp:positionH relativeFrom="column">
              <wp:posOffset>552450</wp:posOffset>
            </wp:positionH>
            <wp:positionV relativeFrom="paragraph">
              <wp:posOffset>652463</wp:posOffset>
            </wp:positionV>
            <wp:extent cx="6510338" cy="6510338"/>
            <wp:effectExtent b="0" l="0" r="0" t="0"/>
            <wp:wrapNone/>
            <wp:docPr id="3" name="image5.jpg"/>
            <a:graphic>
              <a:graphicData uri="http://schemas.openxmlformats.org/drawingml/2006/picture">
                <pic:pic>
                  <pic:nvPicPr>
                    <pic:cNvPr id="0" name="image5.jpg"/>
                    <pic:cNvPicPr preferRelativeResize="0"/>
                  </pic:nvPicPr>
                  <pic:blipFill>
                    <a:blip r:embed="rId7">
                      <a:alphaModFix amt="55000"/>
                    </a:blip>
                    <a:srcRect b="0" l="0" r="0" t="0"/>
                    <a:stretch>
                      <a:fillRect/>
                    </a:stretch>
                  </pic:blipFill>
                  <pic:spPr>
                    <a:xfrm>
                      <a:off x="0" y="0"/>
                      <a:ext cx="6510338" cy="6510338"/>
                    </a:xfrm>
                    <a:prstGeom prst="rect"/>
                    <a:ln/>
                  </pic:spPr>
                </pic:pic>
              </a:graphicData>
            </a:graphic>
          </wp:anchor>
        </w:drawing>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0" w:right="109.483642578125" w:hanging="1.9200134277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Son muchos los ejemplos que pueden analizarse para entender las relaciones Estado-empresas. En un mundo donde la globalización es como el Wifi para las personas, constantemente podemos ver empresas extranjeras en nuestros países. No nos sorprende escuchar que Ford, General Motors, Toyota, KIA, Volkswagen, Grupo Modelo, han invertido cierta cantidad de dinero en el país, o incluso, que han decidido retirar sus empresas de este mismo.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49.5199584960938" w:right="110.073242187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Lo cierto es que, cada día, aumenta el número de empresas tanto nacionales, extranjeras, privadas y públicas y en muchas ocasiones, no visualizamos la dimensión de lo que sucede realmente. Detrás de las grandes corporaciones, personas que hablan de capital, recursos y crecimiento, se encuentra una verdad que pocos queremos ver: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las violaciones a los derechos humanos por parte de las empresas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1.9200134277344" w:right="104.482421875" w:hanging="1.9200134277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Son muchos los daños que podemos encontrar, desde el ámbito laboral, con condiciones de trabajo que parecieran un nuevo sistema de esclavismo, hasta las violaciones a los derechos en materia de vivienda, salud, protección de datos personales, etc.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5.0399780273438" w:right="111.5380859375" w:hanging="5.039978027343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En el siguiente trabajo, se analizará el daño que han generado las empresas al medio ambiente, y cómo este, a su vez, perjudica directamente a las personas, específicamente, afectando el Derecho Humano al Agua. Se estudiaron dos casos específicos, por un lado,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PEMEX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 cual es una empresa pública del Estado mexicano y por el otro lado, </w:t>
      </w: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Constellation Brands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empresa privada estadounidense. Cada una tiene un área específica de operación, pero es importante analizar y entender que ambas vulneraron derechos humanos de las personas. </w:t>
      </w: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5.0399780273438" w:right="111.5380859375" w:hanging="5.039978027343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5.0399780273438" w:right="111.5380859375" w:hanging="5.039978027343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5.0399780273438" w:right="111.5380859375" w:hanging="5.039978027343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5.0399780273438" w:right="111.5380859375" w:hanging="5.039978027343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5.0399780273438" w:right="111.5380859375" w:hanging="5.039978027343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5.0399780273438" w:right="111.5380859375" w:hanging="5.0399780273437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5.0399780273438" w:right="111.5380859375" w:hanging="5.03997802734375"/>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17041015625" w:line="240" w:lineRule="auto"/>
        <w:ind w:left="0" w:right="2795.52734375"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¿QUÉ ES UN DERECHO HUMANO?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1349.5199584960938" w:right="111.54052734375" w:firstLine="4.5600891113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Para comenzar, es fundamental establecer qué es un Derecho Humano. De acuerdo a la CNDH, los DDHH son un conjunto de prerrogativas sustentadas en la dignidad humana, es decir, derechos fundamentales en la vida para un desarrollo integral de las personas. Se caracterizan por ser: universales, es decir, para todas las personas sin distinción alguna; interrelacionados, se encuentran ligados unos a otros; indivisibles, no pueden dividirse entre sí; progresivos, el Estado debe garantizar y vigilar su cumplimiento (Comisión Nacional de los Derechos Humanos [CNDH], s. f.)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0" w:right="117.353515625" w:hanging="1.4399719238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En México se encuentran en la Constitución, tratados internacionales, leyes y organismos necesarios para su garantía y protección. Para efectos de esta investigación, es fundamental conocer y entender que es el Derecho Humano al Agua, y cuál es su fundamento constitucional. De acuerdo con el artículo 4 de la Constitución Política de los Estados Unidos Mexicanos (2026) se establece que: </w:t>
      </w:r>
      <w:r w:rsidDel="00000000" w:rsidR="00000000" w:rsidRPr="00000000">
        <w:drawing>
          <wp:anchor allowOverlap="1" behindDoc="1" distB="114300" distT="114300" distL="114300" distR="114300" hidden="0" layoutInCell="1" locked="0" relativeHeight="0" simplePos="0">
            <wp:simplePos x="0" y="0"/>
            <wp:positionH relativeFrom="column">
              <wp:posOffset>285750</wp:posOffset>
            </wp:positionH>
            <wp:positionV relativeFrom="paragraph">
              <wp:posOffset>323850</wp:posOffset>
            </wp:positionV>
            <wp:extent cx="6510338" cy="6510338"/>
            <wp:effectExtent b="0" l="0" r="0" t="0"/>
            <wp:wrapNone/>
            <wp:docPr id="14" name="image5.jpg"/>
            <a:graphic>
              <a:graphicData uri="http://schemas.openxmlformats.org/drawingml/2006/picture">
                <pic:pic>
                  <pic:nvPicPr>
                    <pic:cNvPr id="0" name="image5.jpg"/>
                    <pic:cNvPicPr preferRelativeResize="0"/>
                  </pic:nvPicPr>
                  <pic:blipFill>
                    <a:blip r:embed="rId7">
                      <a:alphaModFix amt="55000"/>
                    </a:blip>
                    <a:srcRect b="0" l="0" r="0" t="0"/>
                    <a:stretch>
                      <a:fillRect/>
                    </a:stretch>
                  </pic:blipFill>
                  <pic:spPr>
                    <a:xfrm>
                      <a:off x="0" y="0"/>
                      <a:ext cx="6510338" cy="6510338"/>
                    </a:xfrm>
                    <a:prstGeom prst="rect"/>
                    <a:ln/>
                  </pic:spPr>
                </pic:pic>
              </a:graphicData>
            </a:graphic>
          </wp:anchor>
        </w:drawing>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2791.9198608398438" w:right="108.690185546875" w:firstLine="5.280151367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Toda persona tiene derecho al acceso, disposición y saneamiento de agua para consumo personal y doméstico en forma suficiente, salubre, aceptable y asequible. El Estado garantizará este derecho y la ley definirá las bases, apoyos y modalidades para el acceso y uso equitativo y sustentable de los recursos hídricos, estableciendo la participación de la Federación, las entidades federativas y los municipios, así como la participación de la ciudadanía para la consecución de dichos fines.(Pág. 12)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0" w:right="439.58984375" w:hanging="1.4399719238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Asimismo, la Comisión Nacional de Derechos Humanos, menciona que: el agua al ser un recurso básico y de vital importancia para el pleno disfrute de la vida, se debe garantizar su acceso en calidad y cantidad suficiente. El suministro debe ser continuo y eficiente para cubrir las necesidades básicas de las personas. (Comisión Nacional de los Derechos Humanos [CNDH], s. f.)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7.2000122070312" w:right="106.357421875" w:hanging="7.2000122070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Pero a todo esto, ¿Qué tienen que ver las empresas? Ronen Shamir (2007) menciona que derivado de la globalización y libertad económica, se ha dado poder a las empresas, que en ocasiones igualan y sobrepasan a los gobiernos. Su poder es tan grande que incluso influyen en las decisiones políticas, creación de leyes o reformas a los marcos jurídicos de los países.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31.7599487304688" w:right="114.398193359375" w:firstLine="18.24005126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Desafortunadamente, cuando una empresa violenta derechos humanos, los mecanismos jurídicos, en su mayoría, no son eficientes para que se haga justicia. La gran variedad de leyes, tratados, acuerdos, e instrumentos legales, incluso inclinan la balanza en favor de las empresas. Esto impacta directamente en la población, la cual, al no confiar en los mecanismos legales, opta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6146240234375" w:line="240" w:lineRule="auto"/>
        <w:ind w:left="0" w:right="485.45166015625" w:firstLine="0"/>
        <w:jc w:val="right"/>
        <w:rPr/>
      </w:pP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6146240234375" w:line="240" w:lineRule="auto"/>
        <w:ind w:left="0" w:right="485.451660156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17041015625" w:line="344.8327159881592" w:lineRule="auto"/>
        <w:ind w:left="1357.2000122070312" w:right="124.061279296875" w:hanging="7.680053710937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por ejercer presión por medio de movimientos sociales, que en algunos casos, obligan a los gobiernos a sancionar a los grandes corporativos. (Shamir, 2007, Pág. 88)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49.5199584960938" w:right="125.429687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Antes de explicar los casos elegidos, es fundamental entender que: toda construcción, proyecto de infraestructura, ya sea privada, o pública, tendrá consecuencias, y puede dañar directa o indirectamente a la población. Ante esto, es importante cuestionarnos, ¿cuál es el límite?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240" w:lineRule="auto"/>
        <w:ind w:left="1356.000061035156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PLANTA CERVECERA EN MEXICALI  </w:t>
      </w:r>
      <w:r w:rsidDel="00000000" w:rsidR="00000000" w:rsidRPr="00000000">
        <w:drawing>
          <wp:anchor allowOverlap="1" behindDoc="1" distB="114300" distT="114300" distL="114300" distR="114300" hidden="0" layoutInCell="1" locked="0" relativeHeight="0" simplePos="0">
            <wp:simplePos x="0" y="0"/>
            <wp:positionH relativeFrom="column">
              <wp:posOffset>484104</wp:posOffset>
            </wp:positionH>
            <wp:positionV relativeFrom="paragraph">
              <wp:posOffset>395616</wp:posOffset>
            </wp:positionV>
            <wp:extent cx="6510338" cy="6510338"/>
            <wp:effectExtent b="0" l="0" r="0" t="0"/>
            <wp:wrapNone/>
            <wp:docPr id="1" name="image5.jpg"/>
            <a:graphic>
              <a:graphicData uri="http://schemas.openxmlformats.org/drawingml/2006/picture">
                <pic:pic>
                  <pic:nvPicPr>
                    <pic:cNvPr id="0" name="image5.jpg"/>
                    <pic:cNvPicPr preferRelativeResize="0"/>
                  </pic:nvPicPr>
                  <pic:blipFill>
                    <a:blip r:embed="rId7">
                      <a:alphaModFix amt="55000"/>
                    </a:blip>
                    <a:srcRect b="0" l="0" r="0" t="0"/>
                    <a:stretch>
                      <a:fillRect/>
                    </a:stretch>
                  </pic:blipFill>
                  <pic:spPr>
                    <a:xfrm>
                      <a:off x="0" y="0"/>
                      <a:ext cx="6510338" cy="6510338"/>
                    </a:xfrm>
                    <a:prstGeom prst="rect"/>
                    <a:ln/>
                  </pic:spPr>
                </pic:pic>
              </a:graphicData>
            </a:graphic>
          </wp:anchor>
        </w:drawing>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1350.2400207519531" w:right="121.424560546875" w:firstLine="0.9599304199218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 caso práctico para entender cómo una empresa vulnera derechos humanos y en consecuencia, la población ejerce presión para que se garantice este derecho, es lo sucedido en Mexicali apenas unos años atrás.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9200744628906" w:right="111.763916015625" w:hanging="7.9200744628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En abril de 2015, la empresa CBRE Economic Incentives Group, presentó al gobierno estatal la propuesta para la construcción de una planta cervecera a cargo de la empresa estadounidense Constellation Brands, en Mexicali, Baja California. Dicho proyecto estaría encaminado a la construcción de una planta cervecera, destinada a la fabricación y distribución de cerveza hacia los Estados Unidos. Posteriormente, en junio de ese año, el gobernador de ese entonces Francisco Vega de Lamadrid, daría a conocer la iniciativa a la población, argumentando que se generarían 4000 empleos indirectos, 1000 empleos directos, y se incrementaría el desarrollo económico en la región. (Cortez, 2020, Pág.8)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49.5199584960938" w:right="105.1562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En abril de 2016, en el dictamen No. 306, emitido por la Comisión de Hacienda y Presupuesto, del Poder Legislativo del Estado de Baja California, se aprobó la desincorporación y autorización de enajenación de distintos predios pertenecientes al estado, mismos que serían adquiridos por la empresa Constellation Brands a título oneroso. Además, en este mismo documento, se señalaría el nivel de suministro de agua que requeriría la empresa“[...]según refiere la empresa, se requiere para el desarrollo del proyecto, de al menos y por los próximos 50 años, un suministro de 20 millones de metros cúbicos anuales, así como los insumos principales para la realización del proyecto, son la energía eléctrica y el gas natural.” (Congreso del Estado de Baja California, 2016, Pág. 2)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47.1200561523438" w:right="117.640380859375" w:firstLine="2.87994384765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Aparentemente la empresa realizó todos los permisos necesarios ante las distintas autoridades: SEMARNAT, CONAGUA, Comisión Estatal de Servicios Públicos de Mexicali y el municipio. No obstante, de manera confidencial, se realizó un contrato con la CESPM en el cual se daba por aprobado el abastecimiento de agua ya mencionado. Cabe destacar que desde el 2015, hasta el 2019, el gobierno estatal fue un aliado estratégico para Constellation Brands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6146240234375" w:line="240" w:lineRule="auto"/>
        <w:ind w:left="0" w:right="483.692626953125" w:firstLine="0"/>
        <w:jc w:val="right"/>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6146240234375" w:line="240" w:lineRule="auto"/>
        <w:ind w:left="0" w:right="483.6926269531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17041015625" w:line="344.8327159881592" w:lineRule="auto"/>
        <w:ind w:left="1349.5199584960938" w:right="105.06835937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todo esto, el descontento de la población no se hizo esperar. Desde enero de 2016 hasta mediados de 2018, ambientalistas, campesinos, transportistas, comuneros, ejidatarios y sociedad civil en general, realizaron distintos movimientos sociales en contra de la construcción de la planta cervecera. Se registraron bloqueos en distintos puntos de las principales vialidades de Mexicali, como la Carretera Mexicali - San Felipe y el Libramiento de Mexicali. Se buscó detener la construcción de acueductos en el Ejido Villahermosa y el Ejido El Choropo, y en algunos casos, se tomaban casetas de cobro, o realizaron plantones en puntos estratégicos del municipio. (Romero, 2020) </w:t>
      </w:r>
      <w:r w:rsidDel="00000000" w:rsidR="00000000" w:rsidRPr="00000000">
        <w:drawing>
          <wp:anchor allowOverlap="1" behindDoc="1" distB="114300" distT="114300" distL="114300" distR="114300" hidden="0" layoutInCell="1" locked="0" relativeHeight="0" simplePos="0">
            <wp:simplePos x="0" y="0"/>
            <wp:positionH relativeFrom="column">
              <wp:posOffset>523875</wp:posOffset>
            </wp:positionH>
            <wp:positionV relativeFrom="paragraph">
              <wp:posOffset>1857375</wp:posOffset>
            </wp:positionV>
            <wp:extent cx="6510338" cy="6510338"/>
            <wp:effectExtent b="0" l="0" r="0" t="0"/>
            <wp:wrapNone/>
            <wp:docPr id="2" name="image5.jpg"/>
            <a:graphic>
              <a:graphicData uri="http://schemas.openxmlformats.org/drawingml/2006/picture">
                <pic:pic>
                  <pic:nvPicPr>
                    <pic:cNvPr id="0" name="image5.jpg"/>
                    <pic:cNvPicPr preferRelativeResize="0"/>
                  </pic:nvPicPr>
                  <pic:blipFill>
                    <a:blip r:embed="rId7">
                      <a:alphaModFix amt="55000"/>
                    </a:blip>
                    <a:srcRect b="0" l="0" r="0" t="0"/>
                    <a:stretch>
                      <a:fillRect/>
                    </a:stretch>
                  </pic:blipFill>
                  <pic:spPr>
                    <a:xfrm>
                      <a:off x="0" y="0"/>
                      <a:ext cx="6510338" cy="6510338"/>
                    </a:xfrm>
                    <a:prstGeom prst="rect"/>
                    <a:ln/>
                  </pic:spPr>
                </pic:pic>
              </a:graphicData>
            </a:graphic>
          </wp:anchor>
        </w:drawing>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6.9599914550781" w:right="109.093017578125" w:hanging="6.959991455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Como es costumbre, el uso de la fuerza pública no se hizo esperar. Se registraron distintas detenciones y personas lesionadas en los enfrentamientos entre policías y manifestantes, Aunado a esto, las distintas leyes y reformas tanto estatales y federales, que incrementaron el precio de los combustibles y productos de la canasta básica, reforzaban aún más el descontento social y se intensificaron las protestas. (Romero, 2020)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49.5199584960938" w:right="438.50463867187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En octubre de 2018, el Colectivo Estatal Plebiscito por el Agua en Baja California, buscó promover ante la Comisión de Participación Ciudadana y Educación Cívica del Instituto Estatal Electoral de Baja California (IEEBC) un mecanismo de participación ciudadana (Consulta) sobre el proyecto de la cervecera. Por supuesto, la solicitud fue rechazada y se continuó con la construcción de la planta. (Cortez, 2020, Pág.10)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49.5199584960938" w:right="106.27075195312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Posteriormente, con la llegada de Andrés Manuel López Obrador a la presidencia en 2018, el gobierno Federal realizó una encuesta participativa el 21 y 22 de marzo de 2020, en la cual, las personas del municipio decidieron si se continuaba con la construcción de la planta cervecera o se cancelaba.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49.5199584960938" w:right="88.07006835937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Sorpresivamente, miles de mexicalenses salieron a participar activamente en la consulta, dando como resultado un 71.6% de votos para que se cancelara la planta cervecera, y un 28.4% para que se continuara con la construcción. Ante los resultados, el gobierno federal y la empresa Constellation Brands mantuvieron negociaciones para reubicar la planta, llegando a establecerse Veracruz como el lugar indicado para su construcción. (Romero, 2023)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49.5199584960938" w:right="110.63354492187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Pero a todo esto, ¿Qué argumentaban las personas que estaban en contra de la construcción de la planta cervecera en Mexicali? Tanto ambientalistas como ejidatarios, transportistas y población en general, mantenían un punto muy fuerte, el cual era la base de la lucha, el derecho humano al agua.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7.9200744628906" w:right="109.66796875" w:hanging="7.9200744628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Las movilizaciones sociales buscaban luchar por su derecho. La población estaba consciente de que ante la magnitud del proyecto y los requerimientos de suministro de agua, se verían afectados campesinos ante la escasez de agua para la agricultura, siembra y cultivo, sobre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6146240234375" w:line="240" w:lineRule="auto"/>
        <w:ind w:left="0" w:right="484.3518066406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76325" cy="657225"/>
            <wp:effectExtent b="0" l="0" r="0" t="0"/>
            <wp:docPr id="13"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076325" cy="657225"/>
                    </a:xfrm>
                    <a:prstGeom prst="rect"/>
                    <a:ln/>
                  </pic:spPr>
                </pic:pic>
              </a:graphicData>
            </a:graphic>
          </wp:inline>
        </w:drawing>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304800</wp:posOffset>
            </wp:positionH>
            <wp:positionV relativeFrom="paragraph">
              <wp:posOffset>738188</wp:posOffset>
            </wp:positionV>
            <wp:extent cx="6510338" cy="6510338"/>
            <wp:effectExtent b="0" l="0" r="0" t="0"/>
            <wp:wrapNone/>
            <wp:docPr id="12" name="image5.jpg"/>
            <a:graphic>
              <a:graphicData uri="http://schemas.openxmlformats.org/drawingml/2006/picture">
                <pic:pic>
                  <pic:nvPicPr>
                    <pic:cNvPr id="0" name="image5.jpg"/>
                    <pic:cNvPicPr preferRelativeResize="0"/>
                  </pic:nvPicPr>
                  <pic:blipFill>
                    <a:blip r:embed="rId7">
                      <a:alphaModFix amt="55000"/>
                    </a:blip>
                    <a:srcRect b="0" l="0" r="0" t="0"/>
                    <a:stretch>
                      <a:fillRect/>
                    </a:stretch>
                  </pic:blipFill>
                  <pic:spPr>
                    <a:xfrm>
                      <a:off x="0" y="0"/>
                      <a:ext cx="6510338" cy="6510338"/>
                    </a:xfrm>
                    <a:prstGeom prst="rect"/>
                    <a:ln/>
                  </pic:spPr>
                </pic:pic>
              </a:graphicData>
            </a:graphic>
          </wp:anchor>
        </w:drawing>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17041015625" w:line="344.8327159881592" w:lineRule="auto"/>
        <w:ind w:left="1357.2000122070312" w:right="109.862060546875" w:firstLine="1.6799926757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explotación de pozos y aguas subterráneas, se afectarían comercios, y en general, el día a día de los mexicalenses.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0" w:right="113.900146484375" w:hanging="1.4399719238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Pero por supuesto, el sector empresarial no se quedaría conforme con la situación. Los representantes de Constellation Brands buscaron en todo momento anular la consulta, argumentando falta de fundamentación y motivación. También, interpusieron recursos en contra de actos administrativos por parte de CONAGUA, quien buscaba extinguir las concesiones de agua. (Suprema Corte de Justicia de la Nación [SCJN], Segunda Sala, 2023)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49.5199584960938" w:right="111.15112304687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Uno de los momentos de mayor tensión fue cuando la empresa interpuso una solicitud de facultad de atracción ante la Segunda Sala de la Suprema Corte de Justicia de la Nación en el año 2023, esto con la finalidad de que la autoridad conociera y resolviera el amparo en revisión 554/2022, en el que se hacía referencia a la Consulta Ciudadana. La empresa argumentaba que el representante del Ejecutivo no tenía la facultad para ordenar la consulta; que los mecanismos para la consulta no se realizaron apegados a un marco jurídico específico; y que se transgredieron las disposiciones del Acuerdo de Escazú, en el cual, se establece que una empresa puede contar con legitimación para acceder a mecanismos jurisdiccionales y administrativos para defender el derecho a un medio ambiente sano. (Ulisse Cerami et al., 2024, Pág.50)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49.5199584960938" w:right="111.63696289062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Por su parte, la autoridad judicial no ejerció su facultad de atracción para resolver el amparo en revisión, argumentando que carecía de los requisitos de interés y trascendencia necesarios para ello. Por lo cual, se continuó con el proceso de cancelación y reubicación de la planta cervecera. (Suprema Corte de Justicia de la Nación [SCJN], Segunda Sala, 2023)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240" w:lineRule="auto"/>
        <w:ind w:left="1358.6399841308594"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TOMA CLANDESTINA DE PEMEX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7314453125" w:line="344.8327159881592" w:lineRule="auto"/>
        <w:ind w:left="1350.2400207519531" w:right="448.319091796875" w:firstLine="8.159942626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Otro caso importante de analizar fue el derrame de gasolina Premium, en el Arroyo Hondo de Tierra Blanca, Veracruz, en el año 2014. En esta situación, se vio involucrada PEMEX, empresa pública del Estado mexicano, encargada de la exploración, producción, refinación, transporte, almacenamiento y comercialización de hidrocarburos y sus derivados, durante los últimos 80 años. (Petróleos Mexicanos [Pemex], s. f.)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0" w:right="443.887939453125" w:hanging="1.9200134277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El día 28 de agosto del 2014, se dio aviso a la autoridad por un derrame de gasolina y diésel, presuntamente causado por una toma clandestina, que fue reportada por PEMEX y Protección Civil. De acuerdo con el Secretario de Medio Ambiente de Veracruz, Víctor Alvarado, el combustible contaminó más de 12 kilómetros del Arroyo Hondo, ocasionando la muerte de fauna y flora, entre las cuales se encontraban especies protegidas por la ley. Es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64.5794677734375" w:line="240" w:lineRule="auto"/>
        <w:ind w:left="0" w:right="482.59155273437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17041015625" w:line="344.8327159881592" w:lineRule="auto"/>
        <w:ind w:left="1350.2400207519531" w:right="441.748046875" w:firstLine="6.719970703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importante señalar que la región del Arroyo Hondo de Tierra Blanca, Veracruz cuenta con una biodiversidad sumamente importante para el país. </w:t>
      </w:r>
      <w:r w:rsidDel="00000000" w:rsidR="00000000" w:rsidRPr="00000000">
        <w:drawing>
          <wp:anchor allowOverlap="1" behindDoc="1" distB="114300" distT="114300" distL="114300" distR="114300" hidden="0" layoutInCell="1" locked="0" relativeHeight="0" simplePos="0">
            <wp:simplePos x="0" y="0"/>
            <wp:positionH relativeFrom="column">
              <wp:posOffset>85726</wp:posOffset>
            </wp:positionH>
            <wp:positionV relativeFrom="paragraph">
              <wp:posOffset>295275</wp:posOffset>
            </wp:positionV>
            <wp:extent cx="6510338" cy="6510338"/>
            <wp:effectExtent b="0" l="0" r="0" t="0"/>
            <wp:wrapNone/>
            <wp:docPr id="16" name="image5.jpg"/>
            <a:graphic>
              <a:graphicData uri="http://schemas.openxmlformats.org/drawingml/2006/picture">
                <pic:pic>
                  <pic:nvPicPr>
                    <pic:cNvPr id="0" name="image5.jpg"/>
                    <pic:cNvPicPr preferRelativeResize="0"/>
                  </pic:nvPicPr>
                  <pic:blipFill>
                    <a:blip r:embed="rId7">
                      <a:alphaModFix amt="55000"/>
                    </a:blip>
                    <a:srcRect b="0" l="0" r="0" t="0"/>
                    <a:stretch>
                      <a:fillRect/>
                    </a:stretch>
                  </pic:blipFill>
                  <pic:spPr>
                    <a:xfrm>
                      <a:off x="0" y="0"/>
                      <a:ext cx="6510338" cy="6510338"/>
                    </a:xfrm>
                    <a:prstGeom prst="rect"/>
                    <a:ln/>
                  </pic:spPr>
                </pic:pic>
              </a:graphicData>
            </a:graphic>
          </wp:anchor>
        </w:drawing>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49.5199584960938" w:right="440.18188476562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 primera medida de seguridad que se realizó PEMEX fue colocar barreras en el Arroyo, para que el contaminante no se extendiera; sin embargo, las lluvias provocaron que el Arroyo subiera de nivel y se destruyeran las barreras contenedoras que se habían puesto. De esta manera, existía la posibilidad de que el riesgo avanzara a la Laguna María Lizamba, en donde el daño al medio ambiente sería mucho peor. (Peña, I. 2014).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0" w:right="441.363525390625" w:hanging="1.9200134277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esta manera, la Comisión Nacional del Agua (CONAGUA), ordenó a PEMEX realizar medidas urgentes para contener y limpiar el derrame. Se realizó la recolección del producto derramado a través de presión y vacío, dichas acciones se realizaron de manera lenta, y durante el proceso no se aplicó un biodegradable indispensable para la recolección de gasolina, el cual, constaba de varias etapas. (AFP. 2014).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49.5199584960938" w:right="439.27612304687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Por otro lado, existieron más de quinientas personas que sufrieron afectaciones, entre ellas, pescadores, ganaderos y campesinos, cuyas actividades económicas y medios de subsistencia se vieron perjudicados por el derrame. Esta situación transgredió considerablemente el derecho a un medio ambiente sano y el derecho al trabajo de las personas de la zona. En respuesta, la población realizó una manifestación en la Terminal de Almacenamiento y Distribución (TAD) de PEMEX en la ciudad de Tierra Blanca. Esto con el fin de exigir el pago de una indemnización por los daños que sufrieron en varias hectáreas de siembra de maíz, piña y caña, tras el derrame de gasolina. Es importante señalar que miles de familias que vivían en la región de la Cuenca del Papaloapan también fueron afectadas. (Méndez, G. 2014).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49.5199584960938" w:right="436.79077148437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Los habitantes indicaron que el objetivo de la manifestación era que PEMEX reconociera las afectaciones que provocó en más de 15 kilómetros y no solo en 5 kilómetros, como mencionaban ellos. También, se bloqueó el tramo de la carretera Tierra Blanca – El Jícaro, pero si sus peticiones eran ignoradas, bloquearían la autopista la Tinaja – Cosamaloapan, una de las más importantes de la región. (Méndez, G. 2014).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0" w:right="443.929443359375" w:hanging="2.40005493164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El Sr. Osorio, residente de Tierra Blanca, mencionó: “PEMEX no quiere reconocer la totalidad de las afectaciones” y anunció que su alcaldía interpondrá una denuncia contra la empresa petrolera para que repararan los daños. (Peña, I. 2014).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0" w:right="439.056396484375" w:hanging="0.240020751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esta manera, CONAGUA inició un procedimiento administrativo contra PEMEX, y concluyó que la empresa había cometido la infracción de arrojar o depositar contaminantes en un cuerpo de agua nacional, imponiendo una multa económica. La autoridad sostuvo que, aunque el derrame fue provocado por una toma clandestina, PEMEX seguía siendo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6146240234375" w:line="240" w:lineRule="auto"/>
        <w:ind w:left="0" w:right="483.9123535156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17041015625" w:line="344.8327159881592" w:lineRule="auto"/>
        <w:ind w:left="1357.9200744628906" w:right="452.371826171875" w:hanging="6.48010253906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responsable por operar el ducto y por los riesgos inherentes a esa actividad. (Suprema Corte de Justicia de la Nación, 2018).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0" w:right="396.153564453125" w:hanging="1.4399719238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No obstante, PEMEX promovió un juicio de nulidad, argumentando que el derrame fue causado por terceros, mediante un acto ilícito y que no había pruebas para determinar que  PEMEX fue el que había arrojado los hidrocarburos. De este modo, la Sala Especializada en Materia Ambiental y de Regulación del Tribunal Federal de Justicia Administrativa, resolvió sobre la competencia de la autoridad para conocer del asunto, independientemente de que haya sido por una toma clandestina, la ley sanciona la contaminación del agua aunque no exista el dolo. (Suprema Corte de Justicia de la Nación, 2018). </w:t>
      </w:r>
      <w:r w:rsidDel="00000000" w:rsidR="00000000" w:rsidRPr="00000000">
        <w:drawing>
          <wp:anchor allowOverlap="1" behindDoc="1" distB="114300" distT="114300" distL="114300" distR="114300" hidden="0" layoutInCell="1" locked="0" relativeHeight="0" simplePos="0">
            <wp:simplePos x="0" y="0"/>
            <wp:positionH relativeFrom="column">
              <wp:posOffset>374241</wp:posOffset>
            </wp:positionH>
            <wp:positionV relativeFrom="paragraph">
              <wp:posOffset>663015</wp:posOffset>
            </wp:positionV>
            <wp:extent cx="6510338" cy="6510338"/>
            <wp:effectExtent b="0" l="0" r="0" t="0"/>
            <wp:wrapNone/>
            <wp:docPr id="10" name="image5.jpg"/>
            <a:graphic>
              <a:graphicData uri="http://schemas.openxmlformats.org/drawingml/2006/picture">
                <pic:pic>
                  <pic:nvPicPr>
                    <pic:cNvPr id="0" name="image5.jpg"/>
                    <pic:cNvPicPr preferRelativeResize="0"/>
                  </pic:nvPicPr>
                  <pic:blipFill>
                    <a:blip r:embed="rId7">
                      <a:alphaModFix amt="55000"/>
                    </a:blip>
                    <a:srcRect b="0" l="0" r="0" t="0"/>
                    <a:stretch>
                      <a:fillRect/>
                    </a:stretch>
                  </pic:blipFill>
                  <pic:spPr>
                    <a:xfrm>
                      <a:off x="0" y="0"/>
                      <a:ext cx="6510338" cy="6510338"/>
                    </a:xfrm>
                    <a:prstGeom prst="rect"/>
                    <a:ln/>
                  </pic:spPr>
                </pic:pic>
              </a:graphicData>
            </a:graphic>
          </wp:anchor>
        </w:drawing>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0" w:right="435.980224609375" w:hanging="1.9200134277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 obligación de remediar el daño ambiental deriva de la responsabilidad objetiva por el manejo de sustancias peligrosas, sin perjuicio de que posteriormente PEMEX pueda reclamar al verdadero responsable. Sin embargo, la Sala también determinó que la multa estaba indebidamente motivada, ya que CONAGUA no justificó correctamente por qué consideró que la gravedad de la infracción era “alta”. Además, la autoridad atribuyó directamente a PEMEX los daños a la flora, fauna y salud humana, cuando el derrame supuestamente había sido provocado por terceros. (Suprema Corte de Justicia de la Nación, 2018).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0" w:right="421.451416015625" w:hanging="1.9200134277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El conflicto legal no concluyó ahí. PEMEX decidió promover un juicio de amparo para deslindarse de la responsabilidad por el derrame del hidrocarburo. Explicó que CONAGUA lo había sancionado con base en la Ley de Aguas Nacionales, el Código Civil Federal y la Ley Federal de Responsabilidad Ambiental; sin embargo, al resolver el juicio de nulidad, la Sala utilizó los artículos 69 y 70 de la Ley General para la Prevención y Gestión Integral de los Residuos, aunque esa ley nunca había sido aplicada por la autoridad administrativa. Sostuvo que el derrame fue causado por una toma clandestina realizada por terceros, por lo que existía una excluyente de responsabilidad prevista en la Ley Federal de Responsabilidad Ambiental. (Suprema Corte de Justicia de la Nación, 2018).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8.1599426269531" w:right="437.9541015625" w:hanging="8.159942626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Además, insistió en que no estaba demostrado que el Arroyo Hondo hubiera permanecido contaminado, ya que las muestras finales indicaban que el cuerpo de agua ya había sido saneado.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49.5199584960938" w:right="435.77270507812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 Suprema Corte de Justicia de la Nación (2018), en el amparo directo 43/2017, analizó primero el argumento sobre la contaminación del arroyo y determinó que era inoperante, porque para que se actualice la infracción prevista en el artículo 119, fracción XIV, de la Ley de Aguas Nacionales, no es necesario demostrar el grado de contaminación, sino únicamente que se haya arrojado o depositado un contaminante en un cuerpo de agua. Consideró fundado el argumento principal de PEMEX. Señaló que la Sala responsable sí modificó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6243896484375" w:line="240" w:lineRule="auto"/>
        <w:ind w:left="0" w:right="483.69262695312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17041015625" w:line="344.8327159881592" w:lineRule="auto"/>
        <w:ind w:left="1349.5199584960938" w:right="446.043701171875" w:firstLine="7.44003295898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indebidamente la litis, porque utilizó una legislación distinta a la que había servido de fundamento para imponer la multa. La Sala no podía basar su decisión en la Ley General para la Prevención y Gestión Integral de los Residuos, ya que CONAGUA nunca la aplicó en el procedimiento administrativo. </w:t>
      </w:r>
      <w:r w:rsidDel="00000000" w:rsidR="00000000" w:rsidRPr="00000000">
        <w:drawing>
          <wp:anchor allowOverlap="1" behindDoc="1" distB="114300" distT="114300" distL="114300" distR="114300" hidden="0" layoutInCell="1" locked="0" relativeHeight="0" simplePos="0">
            <wp:simplePos x="0" y="0"/>
            <wp:positionH relativeFrom="column">
              <wp:posOffset>447675</wp:posOffset>
            </wp:positionH>
            <wp:positionV relativeFrom="paragraph">
              <wp:posOffset>762000</wp:posOffset>
            </wp:positionV>
            <wp:extent cx="6510338" cy="6510338"/>
            <wp:effectExtent b="0" l="0" r="0" t="0"/>
            <wp:wrapNone/>
            <wp:docPr id="4" name="image5.jpg"/>
            <a:graphic>
              <a:graphicData uri="http://schemas.openxmlformats.org/drawingml/2006/picture">
                <pic:pic>
                  <pic:nvPicPr>
                    <pic:cNvPr id="0" name="image5.jpg"/>
                    <pic:cNvPicPr preferRelativeResize="0"/>
                  </pic:nvPicPr>
                  <pic:blipFill>
                    <a:blip r:embed="rId7">
                      <a:alphaModFix amt="55000"/>
                    </a:blip>
                    <a:srcRect b="0" l="0" r="0" t="0"/>
                    <a:stretch>
                      <a:fillRect/>
                    </a:stretch>
                  </pic:blipFill>
                  <pic:spPr>
                    <a:xfrm>
                      <a:off x="0" y="0"/>
                      <a:ext cx="6510338" cy="6510338"/>
                    </a:xfrm>
                    <a:prstGeom prst="rect"/>
                    <a:ln/>
                  </pic:spPr>
                </pic:pic>
              </a:graphicData>
            </a:graphic>
          </wp:anchor>
        </w:drawing>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0" w:right="435.0830078125" w:hanging="1.92001342773437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 este modo, se observó que la Sala omitió analizar un argumento importante de PEMEX: si era aplicable la excluyente de responsabilidad prevista en el último párrafo del artículo 24 de la Ley Federal de Responsabilidad Ambiental, tomando en cuenta que el derrame fue provocado por una toma clandestina. Por ello, la Suprema Corte concedió el Amparo a PEMEX. No determinó que PEMEX fuera inocente ni eliminó automáticamente la multa, sino que ordenó que la Sala emitiera una nueva sentencia, respetando el marco jurídico originalmente aplicado por CONAGUA y analizando expresamente si procede la excluyente de responsabilidad prevista en la Ley Federal de Responsabilidad Ambiental. (Suprema Corte de Justicia de la Nación, 2018).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240" w:lineRule="auto"/>
        <w:ind w:left="1356.0000610351562" w:right="0" w:firstLine="0"/>
        <w:jc w:val="lef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POBLACIÓN, GOBIERNO Y EMPRESAS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7314453125" w:line="344.8327159881592" w:lineRule="auto"/>
        <w:ind w:left="1349.5199584960938" w:right="104.9291992187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En los hechos anteriores, la población de Mexicali, Tierra Blanca y de la Región de la Cuenca del Papaloapan, en Oaxaca, presionaron a los tres niveles de gobierno, con el objetivo de encontrar una solución a los conflictos. La sociedad civil de las zonas ya mencionadas, utilizó como forma de resistencia las manifestaciones, plantones y bloqueos, para exigir una respuesta eficaz por parte de las autoridades, que desafortunadamente, y por cuestiones burocráticas, falta de coordinación entre instituciones u otros factores, los tiempos para dar solución fueron prolongados.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6.9599914550781" w:right="111.151123046875" w:hanging="6.9599914550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También, es importante resaltar que, los casos tienen causas diferentes, pero ambos comparten cierta relación en cuanto a los resultados. En los dos acontecimientos se afectó directamente el derecho a un medio ambiente sano, y por la existencia de una relación de interdependencia, se vulnera el derecho a la vida, la salud, al trabajo, propiedad, alimentación, y el derecho al agua, el cual fue la base de lucha de los mexicalenses.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49.5199584960938" w:right="116.58325195312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Ronen Shamir (2007) afirma que los países pobres ante la necesidad de inversión y crecimiento, no adoptan medidas jurídicas necesarias para garantizar salarios mínimos, prohibiciones a el trabajo infantil, protección al medio ambiente, o derechos colectivos. (Pág. 89). Esta afirmación no está alejada de lo que sucede y sucedió en México. Con los constantes cambios geopolíticos y el avance de las distintas ideologías políticas, el país ha enfrentado duros golpes a su economía y ante esto, se busca fomentar e implementar inversión privada, pública,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6243896484375" w:line="240" w:lineRule="auto"/>
        <w:ind w:left="0" w:right="483.471679687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1076325" cy="657225"/>
            <wp:effectExtent b="0" l="0" r="0" t="0"/>
            <wp:docPr id="9" name="image3.png"/>
            <a:graphic>
              <a:graphicData uri="http://schemas.openxmlformats.org/drawingml/2006/picture">
                <pic:pic>
                  <pic:nvPicPr>
                    <pic:cNvPr id="0" name="image3.png"/>
                    <pic:cNvPicPr preferRelativeResize="0"/>
                  </pic:nvPicPr>
                  <pic:blipFill>
                    <a:blip r:embed="rId6"/>
                    <a:srcRect b="0" l="0" r="0" t="0"/>
                    <a:stretch>
                      <a:fillRect/>
                    </a:stretch>
                  </pic:blipFill>
                  <pic:spPr>
                    <a:xfrm>
                      <a:off x="0" y="0"/>
                      <a:ext cx="1076325" cy="657225"/>
                    </a:xfrm>
                    <a:prstGeom prst="rect"/>
                    <a:ln/>
                  </pic:spPr>
                </pic:pic>
              </a:graphicData>
            </a:graphic>
          </wp:inline>
        </w:drawing>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514350</wp:posOffset>
            </wp:positionH>
            <wp:positionV relativeFrom="paragraph">
              <wp:posOffset>754856</wp:posOffset>
            </wp:positionV>
            <wp:extent cx="6510338" cy="6510338"/>
            <wp:effectExtent b="0" l="0" r="0" t="0"/>
            <wp:wrapNone/>
            <wp:docPr id="8" name="image5.jpg"/>
            <a:graphic>
              <a:graphicData uri="http://schemas.openxmlformats.org/drawingml/2006/picture">
                <pic:pic>
                  <pic:nvPicPr>
                    <pic:cNvPr id="0" name="image5.jpg"/>
                    <pic:cNvPicPr preferRelativeResize="0"/>
                  </pic:nvPicPr>
                  <pic:blipFill>
                    <a:blip r:embed="rId7">
                      <a:alphaModFix amt="55000"/>
                    </a:blip>
                    <a:srcRect b="0" l="0" r="0" t="0"/>
                    <a:stretch>
                      <a:fillRect/>
                    </a:stretch>
                  </pic:blipFill>
                  <pic:spPr>
                    <a:xfrm>
                      <a:off x="0" y="0"/>
                      <a:ext cx="6510338" cy="6510338"/>
                    </a:xfrm>
                    <a:prstGeom prst="rect"/>
                    <a:ln/>
                  </pic:spPr>
                </pic:pic>
              </a:graphicData>
            </a:graphic>
          </wp:anchor>
        </w:drawing>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217041015625" w:line="344.8327159881592" w:lineRule="auto"/>
        <w:ind w:left="1350" w:right="107.998046875" w:firstLine="1.439971923828125"/>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nacional y extranjera para obtener ingresos y fortalecer la economía. No obstante, por malas administraciones, falta de mecanismos jurídicos eficientes o por perseguir intereses particulares, se toman decisiones que ponen en riesgo los Derechos Humanos de todas las personas.  Por un lado, en el caso de Constellation Brands, se presenta un proyecto como una oportunidad para poder dar empleos y a su vez, fortalecer la economía, no obstante, se pone en amenaza el recurso del agua, el cual es indispensable para cualquier persona. Para un empresario, los millones de metros cúbicos de agua pueden representar una cifra dentro de una inversión; sin embargo, para una familia, para un trabajador o para una comunidad, el agua significa vida, alimento y trabajo.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Por otro lado, en el caso de PEMEX, demuestra que las empresas públicas tampoco están exentas de responsabilidades. El hecho de que una empresa pertenezca al Estado, no significa que pueda colocarse por encima de los derechos humanos, ni que pueda evadir las consecuencias de las actividades que realiza. Aunque el derrame de hidrocarburos, fue por una supuesta toma clandestina, las consecuencias fueron reales: la contaminación, la afectación al medio ambiente, las pérdidas económicas de la población y los daños a las personas que dependían de la tierra y el agua para sobrevivir, PEMEX debía responder ante sus actos. </w:t>
      </w: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7.2000122070312" w:right="109.024658203125" w:hanging="7.20001220703125"/>
        <w:jc w:val="right"/>
        <w:rPr>
          <w:rFonts w:ascii="Arial" w:cs="Arial" w:eastAsia="Arial" w:hAnsi="Arial"/>
          <w:b w:val="0"/>
          <w:bCs w:val="0"/>
          <w:i w:val="0"/>
          <w:iCs w:val="0"/>
          <w:smallCaps w:val="0"/>
          <w:strike w:val="0"/>
          <w:color w:val="000000"/>
          <w:sz w:val="22"/>
          <w:szCs w:val="22"/>
          <w:u w:val="none"/>
          <w:shd w:fill="auto" w:val="clear"/>
          <w:vertAlign w:val="baseline"/>
        </w:rPr>
        <w:sectPr>
          <w:type w:val="continuous"/>
          <w:pgSz w:h="16840" w:w="11920" w:orient="portrait"/>
          <w:pgMar w:bottom="799.560546875" w:top="180" w:left="90" w:right="980.643310546875" w:header="0" w:footer="720"/>
          <w:cols w:equalWidth="0" w:num="1">
            <w:col w:space="0" w:w="10849.356689453125"/>
          </w:cols>
        </w:sect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4.0625" w:line="240" w:lineRule="auto"/>
        <w:ind w:left="0" w:right="21.94091796875" w:firstLine="0"/>
        <w:jc w:val="right"/>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sectPr>
          <w:type w:val="continuous"/>
          <w:pgSz w:h="16840" w:w="11920" w:orient="portrait"/>
          <w:pgMar w:bottom="799.560546875" w:top="180" w:left="90" w:right="4931.94091796875" w:header="0" w:footer="720"/>
          <w:cols w:equalWidth="0" w:num="2">
            <w:col w:space="0" w:w="3460"/>
            <w:col w:space="0" w:w="3460"/>
          </w:cols>
        </w:sect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CONCLUSIÓN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1349.5199584960938" w:right="104.64111328125" w:firstLine="1.6799926757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Una vez que se analizaron los casos de Constellation Brands en Mexicali y PEMEX en Tierra Blanca, Veracruz, se puede comprender el trasfondo que hay en las inversiones, el supuesto crecimiento económico y los discursos del “gran desarrollo de un país”. Las consecuencias de las decisiones empresariales y gubernamentales atentan en cierto grado contra la integridad de las personas. </w:t>
      </w:r>
      <w:r w:rsidDel="00000000" w:rsidR="00000000" w:rsidRPr="00000000">
        <w:drawing>
          <wp:anchor allowOverlap="1" behindDoc="1" distB="114300" distT="114300" distL="114300" distR="114300" hidden="0" layoutInCell="1" locked="0" relativeHeight="0" simplePos="0">
            <wp:simplePos x="0" y="0"/>
            <wp:positionH relativeFrom="column">
              <wp:posOffset>365041</wp:posOffset>
            </wp:positionH>
            <wp:positionV relativeFrom="paragraph">
              <wp:posOffset>819150</wp:posOffset>
            </wp:positionV>
            <wp:extent cx="6510338" cy="6510338"/>
            <wp:effectExtent b="0" l="0" r="0" t="0"/>
            <wp:wrapNone/>
            <wp:docPr id="17" name="image5.jpg"/>
            <a:graphic>
              <a:graphicData uri="http://schemas.openxmlformats.org/drawingml/2006/picture">
                <pic:pic>
                  <pic:nvPicPr>
                    <pic:cNvPr id="0" name="image5.jpg"/>
                    <pic:cNvPicPr preferRelativeResize="0"/>
                  </pic:nvPicPr>
                  <pic:blipFill>
                    <a:blip r:embed="rId7">
                      <a:alphaModFix amt="55000"/>
                    </a:blip>
                    <a:srcRect b="0" l="0" r="0" t="0"/>
                    <a:stretch>
                      <a:fillRect/>
                    </a:stretch>
                  </pic:blipFill>
                  <pic:spPr>
                    <a:xfrm>
                      <a:off x="0" y="0"/>
                      <a:ext cx="6510338" cy="6510338"/>
                    </a:xfrm>
                    <a:prstGeom prst="rect"/>
                    <a:ln/>
                  </pic:spPr>
                </pic:pic>
              </a:graphicData>
            </a:graphic>
          </wp:anchor>
        </w:drawing>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49.5199584960938" w:right="107.09106445312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El crecimiento económico en un país es importante, sí, pero de qué sirve hablar sobre un progreso cuando ese crecimiento significa que una comunidad debe de preocuparse si tendrá suficiente agua para beber, para cultivar sus tierras o para poder satisfacer sus necesidades básicas. ¿Cuál sería el objetivo de generar “crecimiento económico”, si al mismo tiempo se destruye el medio ambiente del cual dependen miles de personas para vivir? La realidad es otra, el desarrollo y crecimiento de un país debería de significar una mejor calidad de vida para todos y no solamente para aquellos que cuentan con un poder adquisitivo alto.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49.5199584960938" w:right="117.232666015625" w:firstLine="0.480041503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Las autoridades no se pueden limitar a promover solo inversiones, sino que deben garantizar que dicho crecimiento respete los Derechos Humanos, al igual que las empresas. El respeto a los DDHH debe dominar cualquier proyecto que se presenta como desarrollo. La riqueza de un país no se debe construir sobre la pobreza o el sufrimiento, al contrario, debe tener como centro a las personas en igualdad de condiciones y no al capital.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7.9200744628906" w:right="113.231201171875" w:hanging="7.9200744628906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Asimismo, como ciudadanos, tenemos la obligación de no ser indiferentes ante dichas situaciones, la organización y unión es una herramienta y un derecho que nos es útil para defender nuestros derechos y nuestra dignidad humana.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240" w:lineRule="auto"/>
        <w:ind w:left="135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9.7442626953125" w:line="240" w:lineRule="auto"/>
        <w:ind w:left="135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9.7442626953125"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9.7442626953125" w:line="240" w:lineRule="auto"/>
        <w:ind w:left="0" w:right="0" w:firstLine="0"/>
        <w:jc w:val="right"/>
        <w:rPr>
          <w:rFonts w:ascii="Times New Roman" w:cs="Times New Roman" w:eastAsia="Times New Roman" w:hAnsi="Times New Roman"/>
          <w:sz w:val="24"/>
          <w:szCs w:val="24"/>
        </w:rPr>
        <w:sectPr>
          <w:type w:val="continuous"/>
          <w:pgSz w:h="16840" w:w="11920" w:orient="portrait"/>
          <w:pgMar w:bottom="799.560546875" w:top="180" w:left="90" w:right="980.643310546875" w:header="0" w:footer="720"/>
          <w:cols w:equalWidth="0" w:num="1">
            <w:col w:space="0" w:w="10849.356689453125"/>
          </w:cols>
        </w:sectPr>
      </w:pPr>
      <w:r w:rsidDel="00000000" w:rsidR="00000000" w:rsidRPr="00000000">
        <w:rPr>
          <w:rFonts w:ascii="Times New Roman" w:cs="Times New Roman" w:eastAsia="Times New Roman" w:hAnsi="Times New Roman"/>
          <w:sz w:val="24"/>
          <w:szCs w:val="24"/>
          <w:rtl w:val="0"/>
        </w:rPr>
        <w:t xml:space="preserve">10</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4.0625" w:line="240" w:lineRule="auto"/>
        <w:ind w:left="0" w:right="28.8006591796875" w:firstLine="0"/>
        <w:jc w:val="center"/>
        <w:rPr>
          <w:rFonts w:ascii="Times New Roman" w:cs="Times New Roman" w:eastAsia="Times New Roman" w:hAnsi="Times New Roman"/>
          <w:b w:val="1"/>
          <w:bCs w:val="1"/>
          <w:i w:val="0"/>
          <w:iCs w:val="0"/>
          <w:smallCaps w:val="0"/>
          <w:strike w:val="0"/>
          <w:color w:val="000000"/>
          <w:u w:val="none"/>
          <w:shd w:fill="auto" w:val="clear"/>
          <w:vertAlign w:val="baseline"/>
        </w:rPr>
        <w:sectPr>
          <w:type w:val="continuous"/>
          <w:pgSz w:h="16840" w:w="11920" w:orient="portrait"/>
          <w:pgMar w:bottom="799.560546875" w:top="180" w:left="90" w:right="4898.8006591796875" w:header="0" w:footer="720"/>
          <w:cols w:equalWidth="0" w:num="2">
            <w:col w:space="0" w:w="3480"/>
            <w:col w:space="0" w:w="3480"/>
          </w:cols>
        </w:sectPr>
      </w:pP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REFERENCIAS </w:t>
      </w:r>
      <w:r w:rsidDel="00000000" w:rsidR="00000000" w:rsidRPr="00000000">
        <w:drawing>
          <wp:anchor allowOverlap="1" behindDoc="1" distB="114300" distT="114300" distL="114300" distR="114300" hidden="0" layoutInCell="1" locked="0" relativeHeight="0" simplePos="0">
            <wp:simplePos x="0" y="0"/>
            <wp:positionH relativeFrom="column">
              <wp:posOffset>374241</wp:posOffset>
            </wp:positionH>
            <wp:positionV relativeFrom="paragraph">
              <wp:posOffset>647700</wp:posOffset>
            </wp:positionV>
            <wp:extent cx="6510338" cy="6510338"/>
            <wp:effectExtent b="0" l="0" r="0" t="0"/>
            <wp:wrapNone/>
            <wp:docPr id="11" name="image5.jpg"/>
            <a:graphic>
              <a:graphicData uri="http://schemas.openxmlformats.org/drawingml/2006/picture">
                <pic:pic>
                  <pic:nvPicPr>
                    <pic:cNvPr id="0" name="image5.jpg"/>
                    <pic:cNvPicPr preferRelativeResize="0"/>
                  </pic:nvPicPr>
                  <pic:blipFill>
                    <a:blip r:embed="rId7">
                      <a:alphaModFix amt="55000"/>
                    </a:blip>
                    <a:srcRect b="0" l="0" r="0" t="0"/>
                    <a:stretch>
                      <a:fillRect/>
                    </a:stretch>
                  </pic:blipFill>
                  <pic:spPr>
                    <a:xfrm>
                      <a:off x="0" y="0"/>
                      <a:ext cx="6510338" cy="6510338"/>
                    </a:xfrm>
                    <a:prstGeom prst="rect"/>
                    <a:ln/>
                  </pic:spPr>
                </pic:pic>
              </a:graphicData>
            </a:graphic>
          </wp:anchor>
        </w:drawing>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7.84912109375" w:line="344.8327159881592" w:lineRule="auto"/>
        <w:ind w:left="1351.4399719238281" w:right="106.17431640625" w:firstLine="0.48004150390625"/>
        <w:jc w:val="left"/>
        <w:rPr>
          <w:rFonts w:ascii="Times New Roman" w:cs="Times New Roman" w:eastAsia="Times New Roman" w:hAnsi="Times New Roman"/>
          <w:b w:val="0"/>
          <w:bCs w:val="0"/>
          <w:i w:val="0"/>
          <w:iCs w:val="0"/>
          <w:smallCaps w:val="0"/>
          <w:strike w:val="0"/>
          <w:color w:val="1155cc"/>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AFP. (2014). "Arroyo Hondo se tiñe de rojo por derrame en Veracruz". Milenio </w:t>
      </w:r>
      <w:r w:rsidDel="00000000" w:rsidR="00000000" w:rsidRPr="00000000">
        <w:rPr>
          <w:rFonts w:ascii="Times New Roman" w:cs="Times New Roman" w:eastAsia="Times New Roman" w:hAnsi="Times New Roman"/>
          <w:b w:val="0"/>
          <w:bCs w:val="0"/>
          <w:i w:val="0"/>
          <w:iCs w:val="0"/>
          <w:smallCaps w:val="0"/>
          <w:strike w:val="0"/>
          <w:color w:val="1155cc"/>
          <w:u w:val="single"/>
          <w:shd w:fill="auto" w:val="clear"/>
          <w:vertAlign w:val="baseline"/>
          <w:rtl w:val="0"/>
        </w:rPr>
        <w:t xml:space="preserve">https://share.google/LqQnjsxgZcQ1gW1Lz</w:t>
      </w:r>
      <w:r w:rsidDel="00000000" w:rsidR="00000000" w:rsidRPr="00000000">
        <w:rPr>
          <w:rFonts w:ascii="Times New Roman" w:cs="Times New Roman" w:eastAsia="Times New Roman" w:hAnsi="Times New Roman"/>
          <w:b w:val="0"/>
          <w:bCs w:val="0"/>
          <w:i w:val="0"/>
          <w:iCs w:val="0"/>
          <w:smallCaps w:val="0"/>
          <w:strike w:val="0"/>
          <w:color w:val="1155cc"/>
          <w:u w:val="none"/>
          <w:shd w:fill="auto" w:val="clear"/>
          <w:vertAlign w:val="baseline"/>
          <w:rtl w:val="0"/>
        </w:rPr>
        <w:t xml:space="preserve">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1351.4399719238281" w:right="116.038818359375" w:firstLine="7.20001220703125"/>
        <w:jc w:val="both"/>
        <w:rPr>
          <w:rFonts w:ascii="Times New Roman" w:cs="Times New Roman" w:eastAsia="Times New Roman" w:hAnsi="Times New Roman"/>
          <w:b w:val="0"/>
          <w:bCs w:val="0"/>
          <w:i w:val="0"/>
          <w:iCs w:val="0"/>
          <w:smallCaps w:val="0"/>
          <w:strike w:val="0"/>
          <w:color w:val="1155cc"/>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Cortez Lara, A. A. (2020). Elementos de conflicto socioambiental: La cervecera Constellation Brands y el agua de Mexicali. </w:t>
      </w:r>
      <w:r w:rsidDel="00000000" w:rsidR="00000000" w:rsidRPr="00000000">
        <w:rPr>
          <w:rFonts w:ascii="Times New Roman" w:cs="Times New Roman" w:eastAsia="Times New Roman" w:hAnsi="Times New Roman"/>
          <w:b w:val="0"/>
          <w:bCs w:val="0"/>
          <w:i w:val="1"/>
          <w:iCs w:val="1"/>
          <w:smallCaps w:val="0"/>
          <w:strike w:val="0"/>
          <w:color w:val="000000"/>
          <w:u w:val="none"/>
          <w:shd w:fill="auto" w:val="clear"/>
          <w:vertAlign w:val="baseline"/>
          <w:rtl w:val="0"/>
        </w:rPr>
        <w:t xml:space="preserve">Frontera Norte, 32</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 Artículo 16. </w:t>
      </w:r>
      <w:r w:rsidDel="00000000" w:rsidR="00000000" w:rsidRPr="00000000">
        <w:rPr>
          <w:rFonts w:ascii="Times New Roman" w:cs="Times New Roman" w:eastAsia="Times New Roman" w:hAnsi="Times New Roman"/>
          <w:b w:val="0"/>
          <w:bCs w:val="0"/>
          <w:i w:val="0"/>
          <w:iCs w:val="0"/>
          <w:smallCaps w:val="0"/>
          <w:strike w:val="0"/>
          <w:color w:val="1155cc"/>
          <w:u w:val="single"/>
          <w:shd w:fill="auto" w:val="clear"/>
          <w:vertAlign w:val="baseline"/>
          <w:rtl w:val="0"/>
        </w:rPr>
        <w:t xml:space="preserve">https://doi.org/10.33679/rfn.v1i1.2032</w:t>
      </w:r>
      <w:r w:rsidDel="00000000" w:rsidR="00000000" w:rsidRPr="00000000">
        <w:rPr>
          <w:rFonts w:ascii="Times New Roman" w:cs="Times New Roman" w:eastAsia="Times New Roman" w:hAnsi="Times New Roman"/>
          <w:b w:val="0"/>
          <w:bCs w:val="0"/>
          <w:i w:val="0"/>
          <w:iCs w:val="0"/>
          <w:smallCaps w:val="0"/>
          <w:strike w:val="0"/>
          <w:color w:val="1155cc"/>
          <w:u w:val="none"/>
          <w:shd w:fill="auto" w:val="clear"/>
          <w:vertAlign w:val="baseline"/>
          <w:rtl w:val="0"/>
        </w:rPr>
        <w:t xml:space="preserve">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1351.4399719238281" w:right="115.955810546875" w:firstLine="7.20001220703125"/>
        <w:jc w:val="left"/>
        <w:rPr>
          <w:rFonts w:ascii="Times New Roman" w:cs="Times New Roman" w:eastAsia="Times New Roman" w:hAnsi="Times New Roman"/>
          <w:b w:val="0"/>
          <w:bCs w:val="0"/>
          <w:i w:val="0"/>
          <w:iCs w:val="0"/>
          <w:smallCaps w:val="0"/>
          <w:strike w:val="0"/>
          <w:color w:val="1155cc"/>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Congreso del Estado de Baja California, Comisión de Hacienda y Presupuesto. (2016, 7 de abril). </w:t>
      </w:r>
      <w:r w:rsidDel="00000000" w:rsidR="00000000" w:rsidRPr="00000000">
        <w:rPr>
          <w:rFonts w:ascii="Times New Roman" w:cs="Times New Roman" w:eastAsia="Times New Roman" w:hAnsi="Times New Roman"/>
          <w:b w:val="0"/>
          <w:bCs w:val="0"/>
          <w:i w:val="1"/>
          <w:iCs w:val="1"/>
          <w:smallCaps w:val="0"/>
          <w:strike w:val="0"/>
          <w:color w:val="000000"/>
          <w:u w:val="none"/>
          <w:shd w:fill="auto" w:val="clear"/>
          <w:vertAlign w:val="baseline"/>
          <w:rtl w:val="0"/>
        </w:rPr>
        <w:t xml:space="preserve">Dictamen No. 306</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 Congreso del Estado de Baja California. </w:t>
      </w:r>
      <w:r w:rsidDel="00000000" w:rsidR="00000000" w:rsidRPr="00000000">
        <w:rPr>
          <w:rFonts w:ascii="Times New Roman" w:cs="Times New Roman" w:eastAsia="Times New Roman" w:hAnsi="Times New Roman"/>
          <w:b w:val="0"/>
          <w:bCs w:val="0"/>
          <w:i w:val="0"/>
          <w:iCs w:val="0"/>
          <w:smallCaps w:val="0"/>
          <w:strike w:val="0"/>
          <w:color w:val="1155cc"/>
          <w:u w:val="single"/>
          <w:shd w:fill="auto" w:val="clear"/>
          <w:vertAlign w:val="baseline"/>
          <w:rtl w:val="0"/>
        </w:rPr>
        <w:t xml:space="preserve">https://www.congresobc.gob.mx/Documentos/ProcesoParlamentario/Dictamenes/306_HDA_07</w:t>
      </w:r>
      <w:r w:rsidDel="00000000" w:rsidR="00000000" w:rsidRPr="00000000">
        <w:rPr>
          <w:rFonts w:ascii="Times New Roman" w:cs="Times New Roman" w:eastAsia="Times New Roman" w:hAnsi="Times New Roman"/>
          <w:b w:val="0"/>
          <w:bCs w:val="0"/>
          <w:i w:val="0"/>
          <w:iCs w:val="0"/>
          <w:smallCaps w:val="0"/>
          <w:strike w:val="0"/>
          <w:color w:val="1155cc"/>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1155cc"/>
          <w:u w:val="single"/>
          <w:shd w:fill="auto" w:val="clear"/>
          <w:vertAlign w:val="baseline"/>
          <w:rtl w:val="0"/>
        </w:rPr>
        <w:t xml:space="preserve">ABR2016.pdf</w:t>
      </w:r>
      <w:r w:rsidDel="00000000" w:rsidR="00000000" w:rsidRPr="00000000">
        <w:rPr>
          <w:rFonts w:ascii="Times New Roman" w:cs="Times New Roman" w:eastAsia="Times New Roman" w:hAnsi="Times New Roman"/>
          <w:b w:val="0"/>
          <w:bCs w:val="0"/>
          <w:i w:val="0"/>
          <w:iCs w:val="0"/>
          <w:smallCaps w:val="0"/>
          <w:strike w:val="0"/>
          <w:color w:val="1155cc"/>
          <w:u w:val="none"/>
          <w:shd w:fill="auto" w:val="clear"/>
          <w:vertAlign w:val="baseline"/>
          <w:rtl w:val="0"/>
        </w:rPr>
        <w:t xml:space="preserve">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1357.9200744628906" w:right="118.037109375" w:firstLine="0.71990966796875"/>
        <w:jc w:val="both"/>
        <w:rPr>
          <w:rFonts w:ascii="Times New Roman" w:cs="Times New Roman" w:eastAsia="Times New Roman" w:hAnsi="Times New Roman"/>
          <w:b w:val="0"/>
          <w:bCs w:val="0"/>
          <w:i w:val="0"/>
          <w:iCs w:val="0"/>
          <w:smallCaps w:val="0"/>
          <w:strike w:val="0"/>
          <w:color w:val="1155cc"/>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Cámara de Diputados del H. Congreso de la Unión. (2026). </w:t>
      </w:r>
      <w:r w:rsidDel="00000000" w:rsidR="00000000" w:rsidRPr="00000000">
        <w:rPr>
          <w:rFonts w:ascii="Times New Roman" w:cs="Times New Roman" w:eastAsia="Times New Roman" w:hAnsi="Times New Roman"/>
          <w:b w:val="0"/>
          <w:bCs w:val="0"/>
          <w:i w:val="1"/>
          <w:iCs w:val="1"/>
          <w:smallCaps w:val="0"/>
          <w:strike w:val="0"/>
          <w:color w:val="000000"/>
          <w:u w:val="none"/>
          <w:shd w:fill="auto" w:val="clear"/>
          <w:vertAlign w:val="baseline"/>
          <w:rtl w:val="0"/>
        </w:rPr>
        <w:t xml:space="preserve">Constitución Política de los Estados Unidos Mexicanos </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(última reforma publicada en el Diario Oficial de la Federación el 2 de junio de 2026). </w:t>
      </w:r>
      <w:r w:rsidDel="00000000" w:rsidR="00000000" w:rsidRPr="00000000">
        <w:rPr>
          <w:rFonts w:ascii="Times New Roman" w:cs="Times New Roman" w:eastAsia="Times New Roman" w:hAnsi="Times New Roman"/>
          <w:b w:val="0"/>
          <w:bCs w:val="0"/>
          <w:i w:val="0"/>
          <w:iCs w:val="0"/>
          <w:smallCaps w:val="0"/>
          <w:strike w:val="0"/>
          <w:color w:val="1155cc"/>
          <w:u w:val="single"/>
          <w:shd w:fill="auto" w:val="clear"/>
          <w:vertAlign w:val="baseline"/>
          <w:rtl w:val="0"/>
        </w:rPr>
        <w:t xml:space="preserve">https://www.diputados.gob.mx/LeyesBiblio/pdf/CPEUM.pdf</w:t>
      </w:r>
      <w:r w:rsidDel="00000000" w:rsidR="00000000" w:rsidRPr="00000000">
        <w:rPr>
          <w:rFonts w:ascii="Times New Roman" w:cs="Times New Roman" w:eastAsia="Times New Roman" w:hAnsi="Times New Roman"/>
          <w:b w:val="0"/>
          <w:bCs w:val="0"/>
          <w:i w:val="0"/>
          <w:iCs w:val="0"/>
          <w:smallCaps w:val="0"/>
          <w:strike w:val="0"/>
          <w:color w:val="1155cc"/>
          <w:u w:val="none"/>
          <w:shd w:fill="auto" w:val="clear"/>
          <w:vertAlign w:val="baseline"/>
          <w:rtl w:val="0"/>
        </w:rPr>
        <w:t xml:space="preserve">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1351.4399719238281" w:right="111.270751953125" w:firstLine="7.20001220703125"/>
        <w:jc w:val="left"/>
        <w:rPr>
          <w:rFonts w:ascii="Times New Roman" w:cs="Times New Roman" w:eastAsia="Times New Roman" w:hAnsi="Times New Roman"/>
          <w:b w:val="0"/>
          <w:bCs w:val="0"/>
          <w:i w:val="0"/>
          <w:iCs w:val="0"/>
          <w:smallCaps w:val="0"/>
          <w:strike w:val="0"/>
          <w:color w:val="00000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Comisión Nacional de los Derechos Humanos. (s. f.). </w:t>
      </w:r>
      <w:r w:rsidDel="00000000" w:rsidR="00000000" w:rsidRPr="00000000">
        <w:rPr>
          <w:rFonts w:ascii="Times New Roman" w:cs="Times New Roman" w:eastAsia="Times New Roman" w:hAnsi="Times New Roman"/>
          <w:b w:val="0"/>
          <w:bCs w:val="0"/>
          <w:i w:val="1"/>
          <w:iCs w:val="1"/>
          <w:smallCaps w:val="0"/>
          <w:strike w:val="0"/>
          <w:color w:val="000000"/>
          <w:u w:val="none"/>
          <w:shd w:fill="auto" w:val="clear"/>
          <w:vertAlign w:val="baseline"/>
          <w:rtl w:val="0"/>
        </w:rPr>
        <w:t xml:space="preserve">¿Qué son los derechos humanos? </w:t>
      </w:r>
      <w:r w:rsidDel="00000000" w:rsidR="00000000" w:rsidRPr="00000000">
        <w:rPr>
          <w:rFonts w:ascii="Times New Roman" w:cs="Times New Roman" w:eastAsia="Times New Roman" w:hAnsi="Times New Roman"/>
          <w:b w:val="0"/>
          <w:bCs w:val="0"/>
          <w:i w:val="0"/>
          <w:iCs w:val="0"/>
          <w:smallCaps w:val="0"/>
          <w:strike w:val="0"/>
          <w:color w:val="1155cc"/>
          <w:u w:val="single"/>
          <w:shd w:fill="auto" w:val="clear"/>
          <w:vertAlign w:val="baseline"/>
          <w:rtl w:val="0"/>
        </w:rPr>
        <w:t xml:space="preserve">https://www.cndh.org.mx/derechos-humanos/que-son-los-derechos-humanos/</w:t>
      </w:r>
      <w:r w:rsidDel="00000000" w:rsidR="00000000" w:rsidRPr="00000000">
        <w:rPr>
          <w:rFonts w:ascii="Times New Roman" w:cs="Times New Roman" w:eastAsia="Times New Roman" w:hAnsi="Times New Roman"/>
          <w:b w:val="0"/>
          <w:bCs w:val="0"/>
          <w:i w:val="0"/>
          <w:iCs w:val="0"/>
          <w:smallCaps w:val="0"/>
          <w:strike w:val="0"/>
          <w:color w:val="1155cc"/>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DERECHOS HUMANOS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1351.4399719238281" w:right="136.124267578125" w:firstLine="112.20001220703125"/>
        <w:jc w:val="left"/>
        <w:rPr>
          <w:rFonts w:ascii="Times New Roman" w:cs="Times New Roman" w:eastAsia="Times New Roman" w:hAnsi="Times New Roman"/>
          <w:b w:val="0"/>
          <w:bCs w:val="0"/>
          <w:i w:val="0"/>
          <w:iCs w:val="0"/>
          <w:smallCaps w:val="0"/>
          <w:strike w:val="0"/>
          <w:color w:val="1155cc"/>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Comisión Nacional de los Derechos Humanos. (s. f.). </w:t>
      </w:r>
      <w:r w:rsidDel="00000000" w:rsidR="00000000" w:rsidRPr="00000000">
        <w:rPr>
          <w:rFonts w:ascii="Times New Roman" w:cs="Times New Roman" w:eastAsia="Times New Roman" w:hAnsi="Times New Roman"/>
          <w:b w:val="0"/>
          <w:bCs w:val="0"/>
          <w:i w:val="1"/>
          <w:iCs w:val="1"/>
          <w:smallCaps w:val="0"/>
          <w:strike w:val="0"/>
          <w:color w:val="000000"/>
          <w:u w:val="none"/>
          <w:shd w:fill="auto" w:val="clear"/>
          <w:vertAlign w:val="baseline"/>
          <w:rtl w:val="0"/>
        </w:rPr>
        <w:t xml:space="preserve">Agua y saneamiento</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 Sitio del Agua. </w:t>
      </w:r>
      <w:r w:rsidDel="00000000" w:rsidR="00000000" w:rsidRPr="00000000">
        <w:rPr>
          <w:rFonts w:ascii="Times New Roman" w:cs="Times New Roman" w:eastAsia="Times New Roman" w:hAnsi="Times New Roman"/>
          <w:b w:val="0"/>
          <w:bCs w:val="0"/>
          <w:i w:val="0"/>
          <w:iCs w:val="0"/>
          <w:smallCaps w:val="0"/>
          <w:strike w:val="0"/>
          <w:color w:val="1155cc"/>
          <w:u w:val="single"/>
          <w:shd w:fill="auto" w:val="clear"/>
          <w:vertAlign w:val="baseline"/>
          <w:rtl w:val="0"/>
        </w:rPr>
        <w:t xml:space="preserve">https://aguaysaneamiento.cndh.org.mx/inicio/Agua </w:t>
      </w:r>
      <w:r w:rsidDel="00000000" w:rsidR="00000000" w:rsidRPr="00000000">
        <w:rPr>
          <w:rFonts w:ascii="Times New Roman" w:cs="Times New Roman" w:eastAsia="Times New Roman" w:hAnsi="Times New Roman"/>
          <w:b w:val="0"/>
          <w:bCs w:val="0"/>
          <w:i w:val="0"/>
          <w:iCs w:val="0"/>
          <w:smallCaps w:val="0"/>
          <w:strike w:val="0"/>
          <w:color w:val="1155cc"/>
          <w:u w:val="none"/>
          <w:shd w:fill="auto" w:val="clear"/>
          <w:vertAlign w:val="baseline"/>
          <w:rtl w:val="0"/>
        </w:rPr>
        <w:t xml:space="preserve">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1354.0800476074219" w:right="112.322998046875" w:firstLine="0"/>
        <w:jc w:val="left"/>
        <w:rPr>
          <w:rFonts w:ascii="Times New Roman" w:cs="Times New Roman" w:eastAsia="Times New Roman" w:hAnsi="Times New Roman"/>
          <w:b w:val="0"/>
          <w:bCs w:val="0"/>
          <w:i w:val="0"/>
          <w:iCs w:val="0"/>
          <w:smallCaps w:val="0"/>
          <w:strike w:val="0"/>
          <w:color w:val="0000ff"/>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Méndez, Germán. (2014). "Afectados por derrame en Arroyo Hondo toman oficinas de PEMEX". </w:t>
      </w:r>
      <w:r w:rsidDel="00000000" w:rsidR="00000000" w:rsidRPr="00000000">
        <w:rPr>
          <w:rFonts w:ascii="Times New Roman" w:cs="Times New Roman" w:eastAsia="Times New Roman" w:hAnsi="Times New Roman"/>
          <w:b w:val="0"/>
          <w:bCs w:val="0"/>
          <w:i w:val="0"/>
          <w:iCs w:val="0"/>
          <w:smallCaps w:val="0"/>
          <w:strike w:val="0"/>
          <w:color w:val="0000ff"/>
          <w:u w:val="single"/>
          <w:shd w:fill="auto" w:val="clear"/>
          <w:vertAlign w:val="baseline"/>
          <w:rtl w:val="0"/>
        </w:rPr>
        <w:t xml:space="preserve">https://share.google/TLAQLJLE08v9IRBdN</w:t>
      </w:r>
      <w:r w:rsidDel="00000000" w:rsidR="00000000" w:rsidRPr="00000000">
        <w:rPr>
          <w:rFonts w:ascii="Times New Roman" w:cs="Times New Roman" w:eastAsia="Times New Roman" w:hAnsi="Times New Roman"/>
          <w:b w:val="0"/>
          <w:bCs w:val="0"/>
          <w:i w:val="0"/>
          <w:iCs w:val="0"/>
          <w:smallCaps w:val="0"/>
          <w:strike w:val="0"/>
          <w:color w:val="0000ff"/>
          <w:u w:val="none"/>
          <w:shd w:fill="auto" w:val="clear"/>
          <w:vertAlign w:val="baseline"/>
          <w:rtl w:val="0"/>
        </w:rPr>
        <w:t xml:space="preserve">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1352.1600341796875" w:right="129.019775390625" w:firstLine="1.920013427734375"/>
        <w:jc w:val="left"/>
        <w:rPr>
          <w:rFonts w:ascii="Times New Roman" w:cs="Times New Roman" w:eastAsia="Times New Roman" w:hAnsi="Times New Roman"/>
          <w:b w:val="0"/>
          <w:bCs w:val="0"/>
          <w:i w:val="0"/>
          <w:iCs w:val="0"/>
          <w:smallCaps w:val="0"/>
          <w:strike w:val="0"/>
          <w:color w:val="1155cc"/>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Más Noticias RTV. (2014). </w:t>
      </w:r>
      <w:r w:rsidDel="00000000" w:rsidR="00000000" w:rsidRPr="00000000">
        <w:rPr>
          <w:rFonts w:ascii="Times New Roman" w:cs="Times New Roman" w:eastAsia="Times New Roman" w:hAnsi="Times New Roman"/>
          <w:b w:val="0"/>
          <w:bCs w:val="0"/>
          <w:i w:val="1"/>
          <w:iCs w:val="1"/>
          <w:smallCaps w:val="0"/>
          <w:strike w:val="0"/>
          <w:color w:val="000000"/>
          <w:u w:val="none"/>
          <w:shd w:fill="auto" w:val="clear"/>
          <w:vertAlign w:val="baseline"/>
          <w:rtl w:val="0"/>
        </w:rPr>
        <w:t xml:space="preserve">Contenido el derrame de gasolina en Tierra Blanca </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[Video]. YouTube. </w:t>
      </w:r>
      <w:r w:rsidDel="00000000" w:rsidR="00000000" w:rsidRPr="00000000">
        <w:rPr>
          <w:rFonts w:ascii="Times New Roman" w:cs="Times New Roman" w:eastAsia="Times New Roman" w:hAnsi="Times New Roman"/>
          <w:b w:val="0"/>
          <w:bCs w:val="0"/>
          <w:i w:val="0"/>
          <w:iCs w:val="0"/>
          <w:smallCaps w:val="0"/>
          <w:strike w:val="0"/>
          <w:color w:val="1155cc"/>
          <w:u w:val="single"/>
          <w:shd w:fill="auto" w:val="clear"/>
          <w:vertAlign w:val="baseline"/>
          <w:rtl w:val="0"/>
        </w:rPr>
        <w:t xml:space="preserve">https://youtu.be/U-rVqBiCQQ4</w:t>
      </w:r>
      <w:r w:rsidDel="00000000" w:rsidR="00000000" w:rsidRPr="00000000">
        <w:rPr>
          <w:rFonts w:ascii="Times New Roman" w:cs="Times New Roman" w:eastAsia="Times New Roman" w:hAnsi="Times New Roman"/>
          <w:b w:val="0"/>
          <w:bCs w:val="0"/>
          <w:i w:val="0"/>
          <w:iCs w:val="0"/>
          <w:smallCaps w:val="0"/>
          <w:strike w:val="0"/>
          <w:color w:val="1155cc"/>
          <w:u w:val="none"/>
          <w:shd w:fill="auto" w:val="clear"/>
          <w:vertAlign w:val="baseline"/>
          <w:rtl w:val="0"/>
        </w:rPr>
        <w:t xml:space="preserve"> </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1354.0800476074219" w:right="116.802978515625" w:firstLine="0"/>
        <w:jc w:val="both"/>
        <w:rPr>
          <w:rFonts w:ascii="Times New Roman" w:cs="Times New Roman" w:eastAsia="Times New Roman" w:hAnsi="Times New Roman"/>
          <w:b w:val="0"/>
          <w:bCs w:val="0"/>
          <w:i w:val="0"/>
          <w:iCs w:val="0"/>
          <w:smallCaps w:val="0"/>
          <w:strike w:val="0"/>
          <w:color w:val="0000ff"/>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Peña, Ignacio. (2014). </w:t>
      </w:r>
      <w:r w:rsidDel="00000000" w:rsidR="00000000" w:rsidRPr="00000000">
        <w:rPr>
          <w:rFonts w:ascii="Times New Roman" w:cs="Times New Roman" w:eastAsia="Times New Roman" w:hAnsi="Times New Roman"/>
          <w:b w:val="0"/>
          <w:bCs w:val="0"/>
          <w:i w:val="1"/>
          <w:iCs w:val="1"/>
          <w:smallCaps w:val="0"/>
          <w:strike w:val="0"/>
          <w:color w:val="000000"/>
          <w:u w:val="none"/>
          <w:shd w:fill="auto" w:val="clear"/>
          <w:vertAlign w:val="baseline"/>
          <w:rtl w:val="0"/>
        </w:rPr>
        <w:t xml:space="preserve">"Continúa el ecocidio en Tierra Blanca, Veracruz"</w:t>
      </w:r>
      <w:r w:rsidDel="00000000" w:rsidR="00000000" w:rsidRPr="00000000">
        <w:rPr>
          <w:rFonts w:ascii="Times New Roman" w:cs="Times New Roman" w:eastAsia="Times New Roman" w:hAnsi="Times New Roman"/>
          <w:b w:val="0"/>
          <w:bCs w:val="0"/>
          <w:i w:val="0"/>
          <w:iCs w:val="0"/>
          <w:smallCaps w:val="0"/>
          <w:strike w:val="0"/>
          <w:color w:val="000000"/>
          <w:u w:val="none"/>
          <w:shd w:fill="auto" w:val="clear"/>
          <w:vertAlign w:val="baseline"/>
          <w:rtl w:val="0"/>
        </w:rPr>
        <w:t xml:space="preserve">. Movimiento Ciudadano. Continua ecocidio en Tierra Blanca, Veracruz | Movimiento Ciudadano - Movimiento-Ciudadano</w:t>
      </w:r>
      <w:r w:rsidDel="00000000" w:rsidR="00000000" w:rsidRPr="00000000">
        <w:rPr>
          <w:rFonts w:ascii="Times New Roman" w:cs="Times New Roman" w:eastAsia="Times New Roman" w:hAnsi="Times New Roman"/>
          <w:b w:val="0"/>
          <w:bCs w:val="0"/>
          <w:i w:val="0"/>
          <w:iCs w:val="0"/>
          <w:smallCaps w:val="0"/>
          <w:strike w:val="0"/>
          <w:color w:val="000000"/>
          <w:u w:val="singl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ff"/>
          <w:u w:val="single"/>
          <w:shd w:fill="auto" w:val="clear"/>
          <w:vertAlign w:val="baseline"/>
          <w:rtl w:val="0"/>
        </w:rPr>
        <w:t xml:space="preserve">https://share.google/8ZJvjQRLIHOIuLjwV</w:t>
      </w:r>
      <w:r w:rsidDel="00000000" w:rsidR="00000000" w:rsidRPr="00000000">
        <w:rPr>
          <w:rFonts w:ascii="Times New Roman" w:cs="Times New Roman" w:eastAsia="Times New Roman" w:hAnsi="Times New Roman"/>
          <w:b w:val="0"/>
          <w:bCs w:val="0"/>
          <w:i w:val="0"/>
          <w:iCs w:val="0"/>
          <w:smallCaps w:val="0"/>
          <w:strike w:val="0"/>
          <w:color w:val="0000ff"/>
          <w:u w:val="none"/>
          <w:shd w:fill="auto" w:val="clear"/>
          <w:vertAlign w:val="baseline"/>
          <w:rtl w:val="0"/>
        </w:rPr>
        <w:t xml:space="preserve">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0.6243896484375" w:line="240" w:lineRule="auto"/>
        <w:ind w:left="0" w:right="514.051513671875" w:firstLine="0"/>
        <w:jc w:val="righ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w:t>
      </w:r>
      <w:r w:rsidDel="00000000" w:rsidR="00000000" w:rsidRPr="00000000">
        <w:drawing>
          <wp:anchor allowOverlap="1" behindDoc="1" distB="114300" distT="114300" distL="114300" distR="114300" hidden="0" layoutInCell="1" locked="0" relativeHeight="0" simplePos="0">
            <wp:simplePos x="0" y="0"/>
            <wp:positionH relativeFrom="column">
              <wp:posOffset>374241</wp:posOffset>
            </wp:positionH>
            <wp:positionV relativeFrom="paragraph">
              <wp:posOffset>347663</wp:posOffset>
            </wp:positionV>
            <wp:extent cx="6510338" cy="6510338"/>
            <wp:effectExtent b="0" l="0" r="0" t="0"/>
            <wp:wrapNone/>
            <wp:docPr id="6" name="image5.jpg"/>
            <a:graphic>
              <a:graphicData uri="http://schemas.openxmlformats.org/drawingml/2006/picture">
                <pic:pic>
                  <pic:nvPicPr>
                    <pic:cNvPr id="0" name="image5.jpg"/>
                    <pic:cNvPicPr preferRelativeResize="0"/>
                  </pic:nvPicPr>
                  <pic:blipFill>
                    <a:blip r:embed="rId7">
                      <a:alphaModFix amt="55000"/>
                    </a:blip>
                    <a:srcRect b="0" l="0" r="0" t="0"/>
                    <a:stretch>
                      <a:fillRect/>
                    </a:stretch>
                  </pic:blipFill>
                  <pic:spPr>
                    <a:xfrm>
                      <a:off x="0" y="0"/>
                      <a:ext cx="6510338" cy="6510338"/>
                    </a:xfrm>
                    <a:prstGeom prst="rect"/>
                    <a:ln/>
                  </pic:spPr>
                </pic:pic>
              </a:graphicData>
            </a:graphic>
          </wp:anchor>
        </w:drawing>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0.181884765625" w:line="344.8327159881592" w:lineRule="auto"/>
        <w:ind w:left="1351.4399719238281" w:right="68.262939453125" w:firstLine="2.64007568359375"/>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Petróleos Mexicanos. (s. f.).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Acerca de Pemex</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https://www.pemex.com/acerca/Paginas/default.aspx</w:t>
      </w:r>
      <w:r w:rsidDel="00000000" w:rsidR="00000000" w:rsidRPr="00000000">
        <w:rPr>
          <w:rFonts w:ascii="Times New Roman" w:cs="Times New Roman" w:eastAsia="Times New Roman" w:hAnsi="Times New Roman"/>
          <w:b w:val="0"/>
          <w:bCs w:val="0"/>
          <w:i w:val="0"/>
          <w:iCs w:val="0"/>
          <w:smallCaps w:val="0"/>
          <w:strike w:val="0"/>
          <w:color w:val="1155cc"/>
          <w:sz w:val="24"/>
          <w:szCs w:val="24"/>
          <w:u w:val="none"/>
          <w:shd w:fill="auto" w:val="clear"/>
          <w:vertAlign w:val="baseline"/>
          <w:rtl w:val="0"/>
        </w:rPr>
        <w:t xml:space="preserve">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1350" w:right="113.553466796875" w:firstLine="4.080047607421875"/>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Romero, R. (2020, 3 de abril).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Mexicali: el pueblo que venció a la Constellation Brands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Revista Común. </w:t>
      </w:r>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https://revistacomun.com/blog/mexicali-el-pueblo-que-venci-a-la-constellation-brands/</w:t>
      </w:r>
      <w:r w:rsidDel="00000000" w:rsidR="00000000" w:rsidRPr="00000000">
        <w:rPr>
          <w:rFonts w:ascii="Times New Roman" w:cs="Times New Roman" w:eastAsia="Times New Roman" w:hAnsi="Times New Roman"/>
          <w:b w:val="0"/>
          <w:bCs w:val="0"/>
          <w:i w:val="0"/>
          <w:iCs w:val="0"/>
          <w:smallCaps w:val="0"/>
          <w:strike w:val="0"/>
          <w:color w:val="1155cc"/>
          <w:sz w:val="24"/>
          <w:szCs w:val="24"/>
          <w:u w:val="none"/>
          <w:shd w:fill="auto" w:val="clear"/>
          <w:vertAlign w:val="baseline"/>
          <w:rtl w:val="0"/>
        </w:rPr>
        <w:t xml:space="preserve">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734375" w:line="344.8327159881592" w:lineRule="auto"/>
        <w:ind w:left="1351.4399719238281" w:right="126.89208984375" w:firstLine="2.64007568359375"/>
        <w:jc w:val="both"/>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Romero, R. (2023)</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 La cervecera que se va de Mexicali, pero pelea por el agua.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CONNECTAS. Plataforma Periodística Para Las Américas. </w:t>
      </w:r>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https://www.connectas.org/cervecera-constellation-mexicali-agua/</w:t>
      </w:r>
      <w:r w:rsidDel="00000000" w:rsidR="00000000" w:rsidRPr="00000000">
        <w:rPr>
          <w:rFonts w:ascii="Times New Roman" w:cs="Times New Roman" w:eastAsia="Times New Roman" w:hAnsi="Times New Roman"/>
          <w:b w:val="0"/>
          <w:bCs w:val="0"/>
          <w:i w:val="0"/>
          <w:iCs w:val="0"/>
          <w:smallCaps w:val="0"/>
          <w:strike w:val="0"/>
          <w:color w:val="1155cc"/>
          <w:sz w:val="24"/>
          <w:szCs w:val="24"/>
          <w:u w:val="none"/>
          <w:shd w:fill="auto" w:val="clear"/>
          <w:vertAlign w:val="baseline"/>
          <w:rtl w:val="0"/>
        </w:rPr>
        <w:t xml:space="preserve">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7578125" w:line="344.8327159881592" w:lineRule="auto"/>
        <w:ind w:left="1343.7600708007812" w:right="113.385009765625" w:firstLine="21.359863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Shamir, R. (2007).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La responsabilidad social empresarial: Un caso de hegemonía y contrahegemonía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En B. de Sousa Santos &amp; C. A. Rodríguez Garavito (Eds.),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El derecho y la globalización desde abajo: Hacia una legalidad cosmopolita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(pp. 86–110). Anthropos Editorial; Universidad Autónoma Metropolitana, Unidad Cuajimalpa.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1347.1200561523438" w:right="110.765380859375" w:firstLine="4.07989501953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Ulisse Cerami, A. D., García López, I. E., &amp; Manríquez Martínez, K. (2024).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Apuntes para la implementación del Acuerdo de Escazú: ¿quién y cómo puede acceder a la justicia en asuntos ambientales? Introducción a la legitimación procesal activa</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Suprema Corte de Justicia de la Nación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9.0521240234375" w:line="344.8327159881592" w:lineRule="auto"/>
        <w:ind w:left="1351.9200134277344" w:right="295.301513671875" w:hanging="0.48004150390625"/>
        <w:jc w:val="left"/>
        <w:rPr>
          <w:rFonts w:ascii="Times New Roman" w:cs="Times New Roman" w:eastAsia="Times New Roman" w:hAnsi="Times New Roman"/>
          <w:b w:val="0"/>
          <w:bCs w:val="0"/>
          <w:i w:val="0"/>
          <w:iCs w:val="0"/>
          <w:smallCaps w:val="0"/>
          <w:strike w:val="0"/>
          <w:color w:val="1155cc"/>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https://www.scjn.gob.mx/derechos-humanos/sites/default/files/Publicaciones/archivos/2024-12/</w:t>
      </w:r>
      <w:r w:rsidDel="00000000" w:rsidR="00000000" w:rsidRPr="00000000">
        <w:rPr>
          <w:rFonts w:ascii="Times New Roman" w:cs="Times New Roman" w:eastAsia="Times New Roman" w:hAnsi="Times New Roman"/>
          <w:b w:val="0"/>
          <w:bCs w:val="0"/>
          <w:i w:val="0"/>
          <w:iCs w:val="0"/>
          <w:smallCaps w:val="0"/>
          <w:strike w:val="0"/>
          <w:color w:val="1155cc"/>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ApuntesEscazu.pdf</w:t>
      </w:r>
      <w:r w:rsidDel="00000000" w:rsidR="00000000" w:rsidRPr="00000000">
        <w:rPr>
          <w:rFonts w:ascii="Times New Roman" w:cs="Times New Roman" w:eastAsia="Times New Roman" w:hAnsi="Times New Roman"/>
          <w:b w:val="0"/>
          <w:bCs w:val="0"/>
          <w:i w:val="0"/>
          <w:iCs w:val="0"/>
          <w:smallCaps w:val="0"/>
          <w:strike w:val="0"/>
          <w:color w:val="1155cc"/>
          <w:sz w:val="24"/>
          <w:szCs w:val="24"/>
          <w:u w:val="none"/>
          <w:shd w:fill="auto" w:val="clear"/>
          <w:vertAlign w:val="baseline"/>
          <w:rtl w:val="0"/>
        </w:rPr>
        <w:t xml:space="preserve">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1344.7200012207031" w:right="111.68212890625" w:firstLine="20.3999328613281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Suprema Corte de Justicia de la Nación. (2018, 25 de abril).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Amparo directo 43/2017: Pemex Refinación (ahora Pemex Logística)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[Sentencia]. Suprema Corte de Justicia de la Nación. Sentencia en el sitio oficial de la SCJN.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3.0169677734375" w:line="344.8327159881592" w:lineRule="auto"/>
        <w:ind w:left="1351.4399719238281" w:right="123.221435546875" w:firstLine="13.679962158203125"/>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Suprema Corte de Justicia de la Nación, Segunda Sala. (2023, 6 de diciembre).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Solicitud de ejercicio de la facultad de atracción 551/2023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[Sentencia]. </w:t>
      </w:r>
      <w:r w:rsidDel="00000000" w:rsidR="00000000" w:rsidRPr="00000000">
        <w:rPr>
          <w:rFonts w:ascii="Times New Roman" w:cs="Times New Roman" w:eastAsia="Times New Roman" w:hAnsi="Times New Roman"/>
          <w:b w:val="0"/>
          <w:bCs w:val="0"/>
          <w:i w:val="0"/>
          <w:iCs w:val="0"/>
          <w:smallCaps w:val="0"/>
          <w:strike w:val="0"/>
          <w:color w:val="1155cc"/>
          <w:sz w:val="24"/>
          <w:szCs w:val="24"/>
          <w:u w:val="single"/>
          <w:shd w:fill="auto" w:val="clear"/>
          <w:vertAlign w:val="baseline"/>
          <w:rtl w:val="0"/>
        </w:rPr>
        <w:t xml:space="preserve">https://www2.scjn.gob.mx/juridica/engroses/2/2023/24/2_318141_6701_firmado.pdf</w:t>
      </w:r>
      <w:r w:rsidDel="00000000" w:rsidR="00000000" w:rsidRPr="00000000">
        <w:rPr>
          <w:rFonts w:ascii="Times New Roman" w:cs="Times New Roman" w:eastAsia="Times New Roman" w:hAnsi="Times New Roman"/>
          <w:b w:val="0"/>
          <w:bCs w:val="0"/>
          <w:i w:val="0"/>
          <w:iCs w:val="0"/>
          <w:smallCaps w:val="0"/>
          <w:strike w:val="0"/>
          <w:color w:val="1155cc"/>
          <w:sz w:val="24"/>
          <w:szCs w:val="24"/>
          <w:u w:val="none"/>
          <w:shd w:fill="auto" w:val="clear"/>
          <w:vertAlign w:val="baseline"/>
          <w:rtl w:val="0"/>
        </w:rPr>
        <w:t xml:space="preserve"> </w:t>
      </w:r>
      <w:r w:rsidDel="00000000" w:rsidR="00000000" w:rsidRPr="00000000">
        <w:rPr>
          <w:rtl w:val="0"/>
        </w:rPr>
      </w:r>
    </w:p>
    <w:sectPr>
      <w:type w:val="continuous"/>
      <w:pgSz w:h="16840" w:w="11920" w:orient="portrait"/>
      <w:pgMar w:bottom="799.560546875" w:top="180" w:left="90" w:right="980.643310546875" w:header="0" w:footer="720"/>
      <w:cols w:equalWidth="0" w:num="1">
        <w:col w:space="0" w:w="10849.356689453125"/>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4.png"/><Relationship Id="rId7"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